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593" w:type="dxa"/>
        <w:tblInd w:w="-289" w:type="dxa"/>
        <w:tblLook w:val="04A0" w:firstRow="1" w:lastRow="0" w:firstColumn="1" w:lastColumn="0" w:noHBand="0" w:noVBand="1"/>
      </w:tblPr>
      <w:tblGrid>
        <w:gridCol w:w="2411"/>
        <w:gridCol w:w="187"/>
        <w:gridCol w:w="2599"/>
        <w:gridCol w:w="2599"/>
        <w:gridCol w:w="1206"/>
        <w:gridCol w:w="1393"/>
        <w:gridCol w:w="2599"/>
        <w:gridCol w:w="2599"/>
      </w:tblGrid>
      <w:tr>
        <w:trPr>
          <w:trHeight w:val="1417"/>
        </w:trPr>
        <w:tc>
          <w:tcPr>
            <w:tcW w:w="2411" w:type="dxa"/>
            <w:vAlign w:val="center"/>
          </w:tcPr>
          <w:p>
            <w:pPr>
              <w:spacing w:line="259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>
                  <wp:extent cx="668656" cy="7715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gridSpan w:val="4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proofErr w:type="spellStart"/>
            <w:r>
              <w:rPr>
                <w:rFonts w:ascii="Arial" w:hAnsi="Arial" w:cs="Arial"/>
                <w:b/>
                <w:sz w:val="40"/>
                <w:szCs w:val="40"/>
              </w:rPr>
              <w:t>Dallam</w:t>
            </w:r>
            <w:proofErr w:type="spellEnd"/>
            <w:r>
              <w:rPr>
                <w:rFonts w:ascii="Arial" w:hAnsi="Arial" w:cs="Arial"/>
                <w:b/>
                <w:sz w:val="40"/>
                <w:szCs w:val="40"/>
              </w:rPr>
              <w:t xml:space="preserve"> School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gridSpan w:val="3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Department: MFL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Year Group: 11 Spanish</w:t>
            </w:r>
          </w:p>
        </w:tc>
      </w:tr>
      <w:tr>
        <w:tc>
          <w:tcPr>
            <w:tcW w:w="5197" w:type="dxa"/>
            <w:gridSpan w:val="3"/>
          </w:tcPr>
          <w:p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AUTUMN</w:t>
            </w:r>
          </w:p>
        </w:tc>
        <w:tc>
          <w:tcPr>
            <w:tcW w:w="5198" w:type="dxa"/>
            <w:gridSpan w:val="3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SPRING</w:t>
            </w:r>
          </w:p>
        </w:tc>
        <w:tc>
          <w:tcPr>
            <w:tcW w:w="5198" w:type="dxa"/>
            <w:gridSpan w:val="2"/>
          </w:tcPr>
          <w:p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SUMMER</w:t>
            </w:r>
          </w:p>
        </w:tc>
      </w:tr>
      <w:tr>
        <w:tc>
          <w:tcPr>
            <w:tcW w:w="2598" w:type="dxa"/>
            <w:gridSpan w:val="2"/>
          </w:tcPr>
          <w:p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1</w:t>
            </w:r>
            <w:bookmarkStart w:id="0" w:name="_GoBack"/>
            <w:bookmarkEnd w:id="0"/>
          </w:p>
        </w:tc>
        <w:tc>
          <w:tcPr>
            <w:tcW w:w="2599" w:type="dxa"/>
          </w:tcPr>
          <w:p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2</w:t>
            </w:r>
          </w:p>
        </w:tc>
        <w:tc>
          <w:tcPr>
            <w:tcW w:w="2599" w:type="dxa"/>
          </w:tcPr>
          <w:p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Half term 3 </w:t>
            </w: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Half term 4 </w:t>
            </w:r>
          </w:p>
        </w:tc>
        <w:tc>
          <w:tcPr>
            <w:tcW w:w="2599" w:type="dxa"/>
          </w:tcPr>
          <w:p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5</w:t>
            </w:r>
          </w:p>
        </w:tc>
        <w:tc>
          <w:tcPr>
            <w:tcW w:w="2599" w:type="dxa"/>
          </w:tcPr>
          <w:p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Half term 6</w:t>
            </w:r>
          </w:p>
        </w:tc>
      </w:tr>
      <w:tr>
        <w:tc>
          <w:tcPr>
            <w:tcW w:w="2598" w:type="dxa"/>
            <w:gridSpan w:val="2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Future Aspirations,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Study and Work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99" w:type="dxa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Future Aspirations,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Study and Work/ International and Global Dimension </w:t>
            </w:r>
          </w:p>
          <w:p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2599" w:type="dxa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International and Global Dimension </w:t>
            </w: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Theme/ Topic</w:t>
            </w:r>
          </w:p>
          <w:p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Revision/practice papers</w:t>
            </w:r>
          </w:p>
        </w:tc>
        <w:tc>
          <w:tcPr>
            <w:tcW w:w="2599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Revision and exams</w:t>
            </w:r>
          </w:p>
        </w:tc>
        <w:tc>
          <w:tcPr>
            <w:tcW w:w="2599" w:type="dxa"/>
          </w:tcPr>
          <w:p>
            <w:pPr>
              <w:spacing w:line="259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Theme/ Topic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Revision and exams</w:t>
            </w:r>
          </w:p>
        </w:tc>
      </w:tr>
      <w:tr>
        <w:tc>
          <w:tcPr>
            <w:tcW w:w="15593" w:type="dxa"/>
            <w:gridSpan w:val="8"/>
            <w:shd w:val="clear" w:color="auto" w:fill="F2F2F2" w:themeFill="background1" w:themeFillShade="F2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By the end of this half term pupils will know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key knowledge, including tier 3 vocabulary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>
        <w:tc>
          <w:tcPr>
            <w:tcW w:w="2598" w:type="dxa"/>
            <w:gridSpan w:val="2"/>
          </w:tcPr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Jobs and careers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work experience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future plans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the importance of learning a language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CVs and covering letters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proofErr w:type="gramStart"/>
            <w:r>
              <w:rPr>
                <w:rFonts w:ascii="Arial" w:hAnsi="Arial"/>
                <w:szCs w:val="20"/>
              </w:rPr>
              <w:t>taking</w:t>
            </w:r>
            <w:proofErr w:type="gramEnd"/>
            <w:r>
              <w:rPr>
                <w:rFonts w:ascii="Arial" w:hAnsi="Arial"/>
                <w:szCs w:val="20"/>
              </w:rPr>
              <w:t xml:space="preserve"> a gap year. </w:t>
            </w:r>
          </w:p>
          <w:p>
            <w:pPr>
              <w:pStyle w:val="Tabletext"/>
              <w:ind w:left="32" w:hanging="32"/>
              <w:rPr>
                <w:rFonts w:ascii="Arial" w:hAnsi="Arial"/>
                <w:i/>
                <w:iCs/>
                <w:szCs w:val="20"/>
                <w:highlight w:val="yellow"/>
              </w:rPr>
            </w:pPr>
          </w:p>
          <w:p>
            <w:pPr>
              <w:pStyle w:val="Tabletext"/>
              <w:rPr>
                <w:rFonts w:ascii="Arial" w:hAnsi="Arial"/>
                <w:i/>
                <w:iCs/>
                <w:szCs w:val="20"/>
                <w:highlight w:val="yellow"/>
              </w:rPr>
            </w:pPr>
          </w:p>
        </w:tc>
        <w:tc>
          <w:tcPr>
            <w:tcW w:w="2599" w:type="dxa"/>
          </w:tcPr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Revision of Half term 1 vocabulary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protecting the environment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global problems and solutions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volunteering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advantages and disadvantages of international and large events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proofErr w:type="gramStart"/>
            <w:r>
              <w:rPr>
                <w:rFonts w:ascii="Arial" w:hAnsi="Arial"/>
                <w:szCs w:val="20"/>
              </w:rPr>
              <w:t>healthy</w:t>
            </w:r>
            <w:proofErr w:type="gramEnd"/>
            <w:r>
              <w:rPr>
                <w:rFonts w:ascii="Arial" w:hAnsi="Arial"/>
                <w:szCs w:val="20"/>
              </w:rPr>
              <w:t xml:space="preserve"> eating. </w:t>
            </w:r>
          </w:p>
          <w:p>
            <w:pPr>
              <w:spacing w:before="80" w:after="6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599" w:type="dxa"/>
          </w:tcPr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Protecting the environment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global problems and solutions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volunteering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advantages and disadvantages of international and large events</w:t>
            </w:r>
          </w:p>
          <w:p>
            <w:pPr>
              <w:pStyle w:val="Tabletext"/>
              <w:numPr>
                <w:ilvl w:val="0"/>
                <w:numId w:val="12"/>
              </w:numPr>
              <w:rPr>
                <w:rFonts w:ascii="Arial" w:hAnsi="Arial"/>
                <w:szCs w:val="20"/>
              </w:rPr>
            </w:pPr>
            <w:proofErr w:type="gramStart"/>
            <w:r>
              <w:rPr>
                <w:rFonts w:ascii="Arial" w:hAnsi="Arial"/>
                <w:szCs w:val="20"/>
              </w:rPr>
              <w:t>healthy</w:t>
            </w:r>
            <w:proofErr w:type="gramEnd"/>
            <w:r>
              <w:rPr>
                <w:rFonts w:ascii="Arial" w:hAnsi="Arial"/>
                <w:szCs w:val="20"/>
              </w:rPr>
              <w:t xml:space="preserve"> eating. </w:t>
            </w:r>
          </w:p>
          <w:p>
            <w:pPr>
              <w:pStyle w:val="Tabletext"/>
              <w:ind w:left="32" w:hanging="32"/>
              <w:rPr>
                <w:rFonts w:ascii="Arial" w:hAnsi="Arial"/>
                <w:szCs w:val="20"/>
              </w:rPr>
            </w:pPr>
          </w:p>
          <w:p>
            <w:pPr>
              <w:spacing w:before="80" w:after="60"/>
              <w:rPr>
                <w:rFonts w:ascii="Arial" w:hAnsi="Arial" w:cs="Arial"/>
                <w:i/>
                <w:iCs/>
                <w:sz w:val="20"/>
                <w:szCs w:val="20"/>
                <w:lang w:val="es-VE"/>
              </w:rPr>
            </w:pPr>
          </w:p>
        </w:tc>
        <w:tc>
          <w:tcPr>
            <w:tcW w:w="2599" w:type="dxa"/>
            <w:gridSpan w:val="2"/>
          </w:tcPr>
          <w:p>
            <w:pPr>
              <w:pStyle w:val="ListParagraph"/>
              <w:numPr>
                <w:ilvl w:val="0"/>
                <w:numId w:val="12"/>
              </w:numPr>
              <w:spacing w:before="8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Revision of all vocabulary, grammar and phonics</w:t>
            </w:r>
          </w:p>
          <w:p>
            <w:pPr>
              <w:pStyle w:val="ListParagraph"/>
              <w:numPr>
                <w:ilvl w:val="0"/>
                <w:numId w:val="12"/>
              </w:numPr>
              <w:spacing w:before="80" w:after="60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past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paper practice in listening, speaking, reading and writing. </w:t>
            </w:r>
          </w:p>
        </w:tc>
        <w:tc>
          <w:tcPr>
            <w:tcW w:w="2599" w:type="dxa"/>
          </w:tcPr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Revision of all vocabulary, grammar and phonics</w:t>
            </w:r>
          </w:p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past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paper practice in listening, speaking, reading and writing. </w:t>
            </w:r>
          </w:p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Recording of the Speaking Assessment.</w:t>
            </w:r>
          </w:p>
        </w:tc>
        <w:tc>
          <w:tcPr>
            <w:tcW w:w="2599" w:type="dxa"/>
          </w:tcPr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Revision of all vocabulary, grammar and phonics </w:t>
            </w:r>
          </w:p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past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paper practice in listening, reading and writing. </w:t>
            </w:r>
          </w:p>
        </w:tc>
      </w:tr>
      <w:tr>
        <w:tc>
          <w:tcPr>
            <w:tcW w:w="15593" w:type="dxa"/>
            <w:gridSpan w:val="8"/>
            <w:shd w:val="clear" w:color="auto" w:fill="F2F2F2" w:themeFill="background1" w:themeFillShade="F2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They will understand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key concepts)</w:t>
            </w:r>
          </w:p>
        </w:tc>
      </w:tr>
      <w:tr>
        <w:tc>
          <w:tcPr>
            <w:tcW w:w="2598" w:type="dxa"/>
            <w:gridSpan w:val="2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Grammar: 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Soler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 the imperfect tense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to use verbs in different tenses and different persons of the verbs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How to use the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preterite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(for completed actions) and the imperfect (for repeated actions / descriptions) in the past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use a variety of tenses (present, perfect, future and conditional)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use present and present continuous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listen out for clue words, being aware of distractors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How to use </w:t>
            </w:r>
            <w:r>
              <w:rPr>
                <w:rFonts w:ascii="Arial" w:hAnsi="Arial" w:cs="Arial"/>
                <w:i/>
                <w:sz w:val="20"/>
                <w:szCs w:val="20"/>
              </w:rPr>
              <w:t>Lo + adjective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How to use </w:t>
            </w: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desde</w:t>
            </w:r>
            <w:proofErr w:type="spellEnd"/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hace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to say how long you have been doing something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use the 24-hour clock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use the perfect tense</w:t>
            </w:r>
          </w:p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Phonics: 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 xml:space="preserve">j </w:t>
            </w:r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>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 xml:space="preserve">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>trabajo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>cajero</w:t>
            </w:r>
            <w:proofErr w:type="spellEnd"/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tiempo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dinero</w:t>
            </w:r>
            <w:proofErr w:type="spellEnd"/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  <w:lang w:val="es-ES"/>
              </w:rPr>
            </w:pP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ga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 xml:space="preserve"> </w:t>
            </w:r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>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 xml:space="preserve">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fr-FR"/>
              </w:rPr>
              <w:t>gano</w:t>
            </w:r>
            <w:proofErr w:type="spellEnd"/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gue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(revision)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juguetes</w:t>
            </w:r>
            <w:proofErr w:type="spellEnd"/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co 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revisión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confianza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conocer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encontrar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ce 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): cerebro, hace, parecer, conocer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cu (revision): cultural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iCs/>
                <w:sz w:val="20"/>
                <w:lang w:val="es-ES"/>
              </w:rPr>
              <w:t xml:space="preserve">a </w:t>
            </w:r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): amable, atentamente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ñ 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año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enseñaría</w:t>
            </w:r>
            <w:proofErr w:type="spellEnd"/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u 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pudiera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tuviera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>, mucho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ga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ganaría</w:t>
            </w:r>
            <w:proofErr w:type="spellEnd"/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v 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universidad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viaje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nivel</w:t>
            </w:r>
            <w:proofErr w:type="spellEnd"/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silent h 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hijos</w:t>
            </w:r>
            <w:proofErr w:type="spellEnd"/>
          </w:p>
        </w:tc>
        <w:tc>
          <w:tcPr>
            <w:tcW w:w="2599" w:type="dxa"/>
          </w:tcPr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Grammar: 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Se </w:t>
            </w: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debería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+ infinitive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Using present and near future tenses together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The present subjunctive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Listening for verbs in the subjunctive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Listening for high numbers</w:t>
            </w:r>
          </w:p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Phonics: 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Rr (revision): barrio,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ahorramos</w:t>
            </w:r>
            <w:proofErr w:type="spellEnd"/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iCs/>
                <w:sz w:val="20"/>
                <w:szCs w:val="20"/>
                <w:lang w:val="es-ES"/>
              </w:rPr>
            </w:pP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silent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 xml:space="preserve"> h 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): hambre, hogar, hagamos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iCs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ci 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): deforestación, diferencia, drogadicción, extinción, esencial, conservación</w:t>
            </w:r>
          </w:p>
        </w:tc>
        <w:tc>
          <w:tcPr>
            <w:tcW w:w="2599" w:type="dxa"/>
          </w:tcPr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Grammar: 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The subjunctive in commands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present a written argument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use different tenses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give extended reasons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The pluperfect tense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gist reading to infer overall meaning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Imperfect continuous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How to use grammar knowledge in translation</w:t>
            </w:r>
          </w:p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Phonics: 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a (revision): 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demasiada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>, para, plantar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u 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basura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>, reducer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a 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drogas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blandas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duras</w:t>
            </w:r>
            <w:proofErr w:type="spellEnd"/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iCs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v 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): sirven, eventos, deportivos, promover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iCs/>
                <w:sz w:val="20"/>
                <w:szCs w:val="20"/>
                <w:lang w:val="es-ES"/>
              </w:rPr>
            </w:pP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e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 xml:space="preserve"> 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): estabas, estábamos, ensayando, entrando, eventos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gu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(revision):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algunos</w:t>
            </w:r>
            <w:proofErr w:type="spellEnd"/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iCs/>
                <w:sz w:val="20"/>
                <w:szCs w:val="20"/>
                <w:lang w:val="es-ES"/>
              </w:rPr>
            </w:pP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e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 xml:space="preserve"> (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revision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s-ES"/>
              </w:rPr>
              <w:t>): estabas, estábamos, ensayando, entrando, eventos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gu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(revision):  </w:t>
            </w:r>
            <w:proofErr w:type="spellStart"/>
            <w:r>
              <w:rPr>
                <w:rFonts w:ascii="Arial" w:hAnsi="Arial" w:cs="Arial"/>
                <w:iCs/>
                <w:sz w:val="20"/>
                <w:szCs w:val="20"/>
              </w:rPr>
              <w:t>algunos</w:t>
            </w:r>
            <w:proofErr w:type="spellEnd"/>
          </w:p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599" w:type="dxa"/>
            <w:gridSpan w:val="2"/>
          </w:tcPr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How to apply all grammar points studied during the GCSE course. 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iCs/>
                <w:sz w:val="20"/>
                <w:szCs w:val="20"/>
              </w:rPr>
              <w:t>all</w:t>
            </w:r>
            <w:proofErr w:type="gram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phonics introduced and practised during the course.</w:t>
            </w:r>
          </w:p>
        </w:tc>
        <w:tc>
          <w:tcPr>
            <w:tcW w:w="2599" w:type="dxa"/>
          </w:tcPr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 xml:space="preserve">How to apply all grammar points studied during the GCSE course. 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iCs/>
                <w:sz w:val="20"/>
                <w:szCs w:val="20"/>
              </w:rPr>
              <w:t>all</w:t>
            </w:r>
            <w:proofErr w:type="gram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phonics introduced and practised during the course.</w:t>
            </w:r>
          </w:p>
        </w:tc>
        <w:tc>
          <w:tcPr>
            <w:tcW w:w="2599" w:type="dxa"/>
          </w:tcPr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How to apply all grammar points studied during the GCSE course. </w:t>
            </w:r>
          </w:p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iCs/>
                <w:sz w:val="20"/>
                <w:szCs w:val="20"/>
              </w:rPr>
              <w:t>all</w:t>
            </w:r>
            <w:proofErr w:type="gram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phonics introduced and practised during the course.</w:t>
            </w:r>
          </w:p>
        </w:tc>
      </w:tr>
      <w:tr>
        <w:trPr>
          <w:trHeight w:val="20"/>
        </w:trPr>
        <w:tc>
          <w:tcPr>
            <w:tcW w:w="15593" w:type="dxa"/>
            <w:gridSpan w:val="8"/>
            <w:shd w:val="clear" w:color="auto" w:fill="F2F2F2" w:themeFill="background1" w:themeFillShade="F2"/>
          </w:tcPr>
          <w:p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They will know how to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key skills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>
        <w:trPr>
          <w:trHeight w:val="1124"/>
        </w:trPr>
        <w:tc>
          <w:tcPr>
            <w:tcW w:w="2598" w:type="dxa"/>
            <w:gridSpan w:val="2"/>
          </w:tcPr>
          <w:p>
            <w:pPr>
              <w:pStyle w:val="Tabletext"/>
              <w:numPr>
                <w:ilvl w:val="0"/>
                <w:numId w:val="9"/>
              </w:numPr>
              <w:spacing w:before="0" w:after="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talk about how you earn money</w:t>
            </w:r>
          </w:p>
          <w:p>
            <w:pPr>
              <w:pStyle w:val="Tabletext"/>
              <w:numPr>
                <w:ilvl w:val="0"/>
                <w:numId w:val="9"/>
              </w:numPr>
              <w:spacing w:before="0" w:after="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iCs/>
                <w:szCs w:val="20"/>
              </w:rPr>
              <w:t>use</w:t>
            </w:r>
            <w:r>
              <w:rPr>
                <w:rFonts w:ascii="Arial" w:hAnsi="Arial"/>
                <w:i/>
                <w:szCs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Cs w:val="20"/>
              </w:rPr>
              <w:t>soler</w:t>
            </w:r>
            <w:proofErr w:type="spellEnd"/>
            <w:r>
              <w:rPr>
                <w:rFonts w:ascii="Arial" w:hAnsi="Arial"/>
                <w:szCs w:val="20"/>
              </w:rPr>
              <w:t xml:space="preserve"> in the imperfect tense</w:t>
            </w:r>
          </w:p>
          <w:p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talk about work experience</w:t>
            </w:r>
          </w:p>
          <w:p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use the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preterite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imperfect together</w:t>
            </w:r>
          </w:p>
          <w:p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talk about the importance of learning languages</w:t>
            </w:r>
          </w:p>
          <w:p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use the present and the present continuous</w:t>
            </w:r>
          </w:p>
          <w:p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use </w:t>
            </w: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saber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Arial" w:hAnsi="Arial" w:cs="Arial"/>
                <w:i/>
                <w:sz w:val="20"/>
                <w:szCs w:val="20"/>
              </w:rPr>
              <w:t>conocer</w:t>
            </w:r>
            <w:proofErr w:type="spellEnd"/>
          </w:p>
          <w:p>
            <w:pPr>
              <w:pStyle w:val="Tabletext"/>
              <w:numPr>
                <w:ilvl w:val="0"/>
                <w:numId w:val="9"/>
              </w:numPr>
              <w:spacing w:before="0" w:after="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talk about languages and travel</w:t>
            </w:r>
          </w:p>
          <w:p>
            <w:pPr>
              <w:pStyle w:val="Tabletext"/>
              <w:numPr>
                <w:ilvl w:val="0"/>
                <w:numId w:val="9"/>
              </w:numPr>
              <w:spacing w:before="0" w:after="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 xml:space="preserve">use </w:t>
            </w:r>
            <w:r>
              <w:rPr>
                <w:rFonts w:ascii="Arial" w:hAnsi="Arial"/>
                <w:i/>
                <w:szCs w:val="20"/>
              </w:rPr>
              <w:t>lo</w:t>
            </w:r>
            <w:r>
              <w:rPr>
                <w:rFonts w:ascii="Arial" w:hAnsi="Arial"/>
                <w:szCs w:val="20"/>
              </w:rPr>
              <w:t xml:space="preserve"> + adjective</w:t>
            </w:r>
          </w:p>
          <w:p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use the 24-hour clock</w:t>
            </w:r>
          </w:p>
          <w:p>
            <w:pPr>
              <w:pStyle w:val="Tabletext"/>
              <w:numPr>
                <w:ilvl w:val="0"/>
                <w:numId w:val="9"/>
              </w:numPr>
              <w:spacing w:before="0" w:after="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apply for a summer job</w:t>
            </w:r>
          </w:p>
          <w:p>
            <w:pPr>
              <w:pStyle w:val="Tabletext"/>
              <w:numPr>
                <w:ilvl w:val="0"/>
                <w:numId w:val="9"/>
              </w:numPr>
              <w:spacing w:before="0" w:after="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 xml:space="preserve">use indirect object pronouns </w:t>
            </w:r>
          </w:p>
          <w:p>
            <w:pPr>
              <w:pStyle w:val="Tabletext"/>
              <w:numPr>
                <w:ilvl w:val="0"/>
                <w:numId w:val="9"/>
              </w:numPr>
              <w:spacing w:before="0" w:after="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>discuss gap years</w:t>
            </w:r>
          </w:p>
          <w:p>
            <w:pPr>
              <w:spacing w:line="259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599" w:type="dxa"/>
          </w:tcPr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describe types of houses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talk about the environment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talk about healthy eating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discuss diet-related problems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consider global issues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use the superlative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listen for high numbers</w:t>
            </w:r>
          </w:p>
        </w:tc>
        <w:tc>
          <w:tcPr>
            <w:tcW w:w="2599" w:type="dxa"/>
          </w:tcPr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talk about local actions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use the subjunctive in commands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discuss healthy lifestyles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give extended reasons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talk about international sporting events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use the pluperfect tense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use the imperfect continuous</w:t>
            </w:r>
          </w:p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use grammar knowledge in translation</w:t>
            </w:r>
          </w:p>
          <w:p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599" w:type="dxa"/>
            <w:gridSpan w:val="2"/>
          </w:tcPr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iCs/>
                <w:sz w:val="20"/>
                <w:szCs w:val="20"/>
              </w:rPr>
              <w:t>work</w:t>
            </w:r>
            <w:proofErr w:type="gram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on and consolidate their listening, speaking, reading and writing and skills in preparation for the final summer exams. </w:t>
            </w:r>
          </w:p>
          <w:p>
            <w:pPr>
              <w:pStyle w:val="ListParagraph"/>
              <w:ind w:left="0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599" w:type="dxa"/>
          </w:tcPr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iCs/>
                <w:sz w:val="20"/>
                <w:szCs w:val="20"/>
              </w:rPr>
              <w:t>work</w:t>
            </w:r>
            <w:proofErr w:type="gram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on and consolidate their listening, speaking, reading and writing and skills in preparation for the final summer exams. </w:t>
            </w:r>
          </w:p>
          <w:p>
            <w:pPr>
              <w:pStyle w:val="ListParagraph"/>
              <w:ind w:left="0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2599" w:type="dxa"/>
          </w:tcPr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i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iCs/>
                <w:sz w:val="20"/>
                <w:szCs w:val="20"/>
              </w:rPr>
              <w:t>work</w:t>
            </w:r>
            <w:proofErr w:type="gramEnd"/>
            <w:r>
              <w:rPr>
                <w:rFonts w:ascii="Arial" w:hAnsi="Arial" w:cs="Arial"/>
                <w:iCs/>
                <w:sz w:val="20"/>
                <w:szCs w:val="20"/>
              </w:rPr>
              <w:t xml:space="preserve"> on and consolidate their listening, speaking, reading and writing and skills in preparation for the final summer exams. </w:t>
            </w:r>
          </w:p>
          <w:p>
            <w:pPr>
              <w:pStyle w:val="ListParagraph"/>
              <w:ind w:left="0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</w:tbl>
    <w:p>
      <w:pPr>
        <w:rPr>
          <w:rFonts w:ascii="Arial" w:hAnsi="Arial" w:cs="Arial"/>
          <w:sz w:val="20"/>
          <w:szCs w:val="20"/>
        </w:rPr>
      </w:pPr>
    </w:p>
    <w:p/>
    <w:sectPr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32FD2"/>
    <w:multiLevelType w:val="hybridMultilevel"/>
    <w:tmpl w:val="A01866E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9CEF5F0">
      <w:numFmt w:val="bullet"/>
      <w:lvlText w:val=""/>
      <w:lvlJc w:val="left"/>
      <w:pPr>
        <w:ind w:left="1440" w:hanging="360"/>
      </w:pPr>
      <w:rPr>
        <w:rFonts w:ascii="Symbol" w:eastAsiaTheme="minorHAnsi" w:hAnsi="Symbol" w:cs="Aria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E7B4F"/>
    <w:multiLevelType w:val="hybridMultilevel"/>
    <w:tmpl w:val="D74AC772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44F1F"/>
    <w:multiLevelType w:val="hybridMultilevel"/>
    <w:tmpl w:val="1CEA924A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D12E2"/>
    <w:multiLevelType w:val="hybridMultilevel"/>
    <w:tmpl w:val="753035D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92526"/>
    <w:multiLevelType w:val="hybridMultilevel"/>
    <w:tmpl w:val="9680579E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0290E"/>
    <w:multiLevelType w:val="multilevel"/>
    <w:tmpl w:val="B6288E42"/>
    <w:styleLink w:val="Listfeature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2AB10EF3"/>
    <w:multiLevelType w:val="hybridMultilevel"/>
    <w:tmpl w:val="8438DDC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B07D50"/>
    <w:multiLevelType w:val="hybridMultilevel"/>
    <w:tmpl w:val="909AD43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31D0A"/>
    <w:multiLevelType w:val="hybridMultilevel"/>
    <w:tmpl w:val="5C465CC4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063090"/>
    <w:multiLevelType w:val="hybridMultilevel"/>
    <w:tmpl w:val="FC8AC10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AC4D6B"/>
    <w:multiLevelType w:val="hybridMultilevel"/>
    <w:tmpl w:val="9710DD9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F87795"/>
    <w:multiLevelType w:val="hybridMultilevel"/>
    <w:tmpl w:val="E6F0450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C77EBD"/>
    <w:multiLevelType w:val="hybridMultilevel"/>
    <w:tmpl w:val="E8EAF59C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C06E36"/>
    <w:multiLevelType w:val="hybridMultilevel"/>
    <w:tmpl w:val="F7CCFFFC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301F6E"/>
    <w:multiLevelType w:val="hybridMultilevel"/>
    <w:tmpl w:val="FC5A9704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4"/>
  </w:num>
  <w:num w:numId="5">
    <w:abstractNumId w:val="13"/>
  </w:num>
  <w:num w:numId="6">
    <w:abstractNumId w:val="12"/>
  </w:num>
  <w:num w:numId="7">
    <w:abstractNumId w:val="3"/>
  </w:num>
  <w:num w:numId="8">
    <w:abstractNumId w:val="1"/>
  </w:num>
  <w:num w:numId="9">
    <w:abstractNumId w:val="8"/>
  </w:num>
  <w:num w:numId="10">
    <w:abstractNumId w:val="5"/>
  </w:num>
  <w:num w:numId="11">
    <w:abstractNumId w:val="9"/>
  </w:num>
  <w:num w:numId="12">
    <w:abstractNumId w:val="10"/>
  </w:num>
  <w:num w:numId="13">
    <w:abstractNumId w:val="0"/>
  </w:num>
  <w:num w:numId="14">
    <w:abstractNumId w:val="7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96097C-A163-4F7D-A3D2-D465487B0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text">
    <w:name w:val="Table text"/>
    <w:qFormat/>
    <w:pPr>
      <w:spacing w:before="80" w:after="60" w:line="240" w:lineRule="atLeast"/>
    </w:pPr>
    <w:rPr>
      <w:rFonts w:ascii="Verdana" w:eastAsia="Times New Roman" w:hAnsi="Verdana" w:cs="Arial"/>
      <w:sz w:val="20"/>
      <w:szCs w:val="24"/>
    </w:rPr>
  </w:style>
  <w:style w:type="paragraph" w:styleId="Footer">
    <w:name w:val="footer"/>
    <w:link w:val="FooterChar"/>
    <w:pPr>
      <w:pBdr>
        <w:top w:val="single" w:sz="8" w:space="3" w:color="002656"/>
      </w:pBdr>
      <w:spacing w:after="0" w:line="240" w:lineRule="auto"/>
      <w:ind w:right="-567"/>
    </w:pPr>
    <w:rPr>
      <w:rFonts w:ascii="Verdana" w:eastAsia="Times New Roman" w:hAnsi="Verdana" w:cs="Times New Roman"/>
      <w:sz w:val="15"/>
      <w:szCs w:val="24"/>
    </w:rPr>
  </w:style>
  <w:style w:type="character" w:customStyle="1" w:styleId="FooterChar">
    <w:name w:val="Footer Char"/>
    <w:basedOn w:val="DefaultParagraphFont"/>
    <w:link w:val="Footer"/>
    <w:rPr>
      <w:rFonts w:ascii="Verdana" w:eastAsia="Times New Roman" w:hAnsi="Verdana" w:cs="Times New Roman"/>
      <w:sz w:val="15"/>
      <w:szCs w:val="24"/>
    </w:rPr>
  </w:style>
  <w:style w:type="numbering" w:customStyle="1" w:styleId="Listfeature2">
    <w:name w:val="List feature2"/>
    <w:pPr>
      <w:numPr>
        <w:numId w:val="10"/>
      </w:numPr>
    </w:pPr>
  </w:style>
  <w:style w:type="paragraph" w:styleId="Header">
    <w:name w:val="header"/>
    <w:link w:val="HeaderChar"/>
    <w:pPr>
      <w:spacing w:after="0" w:line="240" w:lineRule="auto"/>
      <w:jc w:val="right"/>
    </w:pPr>
    <w:rPr>
      <w:rFonts w:ascii="Verdana" w:eastAsia="Times New Roman" w:hAnsi="Verdana" w:cs="Times New Roman"/>
      <w:sz w:val="20"/>
      <w:szCs w:val="24"/>
    </w:rPr>
  </w:style>
  <w:style w:type="character" w:customStyle="1" w:styleId="HeaderChar">
    <w:name w:val="Header Char"/>
    <w:basedOn w:val="DefaultParagraphFont"/>
    <w:link w:val="Header"/>
    <w:rPr>
      <w:rFonts w:ascii="Verdana" w:eastAsia="Times New Roman" w:hAnsi="Verdana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638E5-5C0E-4EC5-8FD2-25911DDB363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C029B79-7B38-4425-B6DD-555A84AD32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5A14B8-79C3-445A-B0F4-E6DC6448FC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3d84db-19d6-4c8a-97d0-4cd0046ad0c8"/>
    <ds:schemaRef ds:uri="ab8eadae-a162-4602-b969-630d89ef8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4A8A15-D776-44A8-8E7E-761FFFD8B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G.Cook</dc:creator>
  <cp:keywords/>
  <dc:description/>
  <cp:lastModifiedBy>S.Henneberry</cp:lastModifiedBy>
  <cp:revision>3</cp:revision>
  <dcterms:created xsi:type="dcterms:W3CDTF">2022-06-13T09:32:00Z</dcterms:created>
  <dcterms:modified xsi:type="dcterms:W3CDTF">2022-07-06T14:27:00Z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