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5960" w:type="dxa"/>
        <w:jc w:val="center"/>
        <w:tblLook w:val="04A0" w:firstRow="1" w:lastRow="0" w:firstColumn="1" w:lastColumn="0" w:noHBand="0" w:noVBand="1"/>
      </w:tblPr>
      <w:tblGrid>
        <w:gridCol w:w="2694"/>
        <w:gridCol w:w="972"/>
        <w:gridCol w:w="1663"/>
        <w:gridCol w:w="1663"/>
        <w:gridCol w:w="2293"/>
        <w:gridCol w:w="533"/>
        <w:gridCol w:w="2776"/>
        <w:gridCol w:w="3366"/>
      </w:tblGrid>
      <w:tr>
        <w:trPr>
          <w:trHeight w:val="1417"/>
          <w:jc w:val="center"/>
        </w:trPr>
        <w:tc>
          <w:tcPr>
            <w:tcW w:w="2694" w:type="dxa"/>
            <w:vAlign w:val="center"/>
          </w:tcPr>
          <w:p>
            <w:pPr>
              <w:spacing w:line="259" w:lineRule="auto"/>
              <w:contextualSpacing/>
              <w:jc w:val="center"/>
              <w:rPr>
                <w:rFonts w:ascii="Century Gothic" w:hAnsi="Century Gothic" w:cs="Arial"/>
              </w:rPr>
            </w:pPr>
            <w:r>
              <w:rPr>
                <w:rFonts w:ascii="Century Gothic" w:hAnsi="Century Gothic" w:cs="Arial"/>
                <w:noProof/>
                <w:lang w:eastAsia="en-GB"/>
              </w:rPr>
              <w:drawing>
                <wp:inline distT="0" distB="0" distL="0" distR="0">
                  <wp:extent cx="668656" cy="771525"/>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2586" cy="776060"/>
                          </a:xfrm>
                          <a:prstGeom prst="rect">
                            <a:avLst/>
                          </a:prstGeom>
                          <a:noFill/>
                        </pic:spPr>
                      </pic:pic>
                    </a:graphicData>
                  </a:graphic>
                </wp:inline>
              </w:drawing>
            </w:r>
          </w:p>
        </w:tc>
        <w:tc>
          <w:tcPr>
            <w:tcW w:w="6591" w:type="dxa"/>
            <w:gridSpan w:val="4"/>
            <w:vAlign w:val="center"/>
          </w:tcPr>
          <w:p>
            <w:pPr>
              <w:spacing w:line="259" w:lineRule="auto"/>
              <w:contextualSpacing/>
              <w:rPr>
                <w:rFonts w:ascii="Century Gothic" w:hAnsi="Century Gothic" w:cs="Arial"/>
                <w:b/>
                <w:sz w:val="40"/>
                <w:szCs w:val="40"/>
              </w:rPr>
            </w:pPr>
            <w:proofErr w:type="spellStart"/>
            <w:r>
              <w:rPr>
                <w:rFonts w:ascii="Century Gothic" w:hAnsi="Century Gothic" w:cs="Arial"/>
                <w:b/>
                <w:sz w:val="40"/>
                <w:szCs w:val="40"/>
              </w:rPr>
              <w:t>Dallam</w:t>
            </w:r>
            <w:proofErr w:type="spellEnd"/>
            <w:r>
              <w:rPr>
                <w:rFonts w:ascii="Century Gothic" w:hAnsi="Century Gothic" w:cs="Arial"/>
                <w:b/>
                <w:sz w:val="40"/>
                <w:szCs w:val="40"/>
              </w:rPr>
              <w:t xml:space="preserve"> School</w:t>
            </w:r>
          </w:p>
          <w:p>
            <w:pPr>
              <w:spacing w:line="259" w:lineRule="auto"/>
              <w:contextualSpacing/>
              <w:rPr>
                <w:rFonts w:ascii="Century Gothic" w:hAnsi="Century Gothic" w:cs="Arial"/>
                <w:bCs/>
                <w:sz w:val="28"/>
                <w:szCs w:val="28"/>
              </w:rPr>
            </w:pPr>
            <w:r>
              <w:rPr>
                <w:rFonts w:ascii="Century Gothic" w:hAnsi="Century Gothic" w:cs="Arial"/>
                <w:bCs/>
                <w:sz w:val="28"/>
                <w:szCs w:val="28"/>
              </w:rPr>
              <w:t>Curriculum Overview</w:t>
            </w:r>
          </w:p>
        </w:tc>
        <w:tc>
          <w:tcPr>
            <w:tcW w:w="6675" w:type="dxa"/>
            <w:gridSpan w:val="3"/>
            <w:vAlign w:val="center"/>
          </w:tcPr>
          <w:p>
            <w:pPr>
              <w:spacing w:line="259" w:lineRule="auto"/>
              <w:contextualSpacing/>
              <w:rPr>
                <w:rFonts w:ascii="Century Gothic" w:hAnsi="Century Gothic" w:cs="Arial"/>
                <w:b/>
                <w:sz w:val="28"/>
                <w:szCs w:val="28"/>
              </w:rPr>
            </w:pPr>
            <w:r>
              <w:rPr>
                <w:rFonts w:ascii="Century Gothic" w:hAnsi="Century Gothic" w:cs="Arial"/>
                <w:b/>
                <w:sz w:val="28"/>
                <w:szCs w:val="28"/>
              </w:rPr>
              <w:t xml:space="preserve">Faculty: Humanities </w:t>
            </w:r>
          </w:p>
          <w:p>
            <w:pPr>
              <w:spacing w:line="259" w:lineRule="auto"/>
              <w:contextualSpacing/>
              <w:rPr>
                <w:rFonts w:ascii="Century Gothic" w:hAnsi="Century Gothic" w:cs="Arial"/>
                <w:b/>
                <w:sz w:val="28"/>
                <w:szCs w:val="28"/>
              </w:rPr>
            </w:pPr>
            <w:r>
              <w:rPr>
                <w:rFonts w:ascii="Century Gothic" w:hAnsi="Century Gothic" w:cs="Arial"/>
                <w:b/>
                <w:sz w:val="28"/>
                <w:szCs w:val="28"/>
              </w:rPr>
              <w:t>Subject: Geography</w:t>
            </w:r>
          </w:p>
          <w:p>
            <w:pPr>
              <w:spacing w:line="259" w:lineRule="auto"/>
              <w:contextualSpacing/>
              <w:rPr>
                <w:rFonts w:ascii="Century Gothic" w:hAnsi="Century Gothic" w:cs="Arial"/>
                <w:sz w:val="28"/>
                <w:szCs w:val="28"/>
              </w:rPr>
            </w:pPr>
            <w:r>
              <w:rPr>
                <w:rFonts w:ascii="Century Gothic" w:hAnsi="Century Gothic" w:cs="Arial"/>
                <w:b/>
                <w:bCs/>
                <w:sz w:val="28"/>
                <w:szCs w:val="28"/>
              </w:rPr>
              <w:t>Year Group: 11 (from September 2023)</w:t>
            </w:r>
          </w:p>
        </w:tc>
      </w:tr>
      <w:tr>
        <w:trPr>
          <w:tblHeader/>
          <w:jc w:val="center"/>
        </w:trPr>
        <w:tc>
          <w:tcPr>
            <w:tcW w:w="5329" w:type="dxa"/>
            <w:gridSpan w:val="3"/>
          </w:tcPr>
          <w:p>
            <w:pPr>
              <w:spacing w:line="259" w:lineRule="auto"/>
              <w:jc w:val="center"/>
              <w:rPr>
                <w:rFonts w:ascii="Century Gothic" w:hAnsi="Century Gothic" w:cs="Arial"/>
                <w:b/>
                <w:bCs/>
              </w:rPr>
            </w:pPr>
            <w:r>
              <w:rPr>
                <w:rFonts w:ascii="Century Gothic" w:hAnsi="Century Gothic" w:cs="Arial"/>
                <w:b/>
                <w:bCs/>
              </w:rPr>
              <w:t>AUTUMN</w:t>
            </w:r>
          </w:p>
        </w:tc>
        <w:tc>
          <w:tcPr>
            <w:tcW w:w="4489" w:type="dxa"/>
            <w:gridSpan w:val="3"/>
          </w:tcPr>
          <w:p>
            <w:pPr>
              <w:spacing w:line="259" w:lineRule="auto"/>
              <w:jc w:val="center"/>
              <w:rPr>
                <w:rFonts w:ascii="Century Gothic" w:hAnsi="Century Gothic" w:cs="Arial"/>
                <w:b/>
                <w:bCs/>
              </w:rPr>
            </w:pPr>
            <w:r>
              <w:rPr>
                <w:rFonts w:ascii="Century Gothic" w:hAnsi="Century Gothic" w:cs="Arial"/>
                <w:b/>
                <w:bCs/>
              </w:rPr>
              <w:t>SPRING</w:t>
            </w:r>
          </w:p>
        </w:tc>
        <w:tc>
          <w:tcPr>
            <w:tcW w:w="6142" w:type="dxa"/>
            <w:gridSpan w:val="2"/>
          </w:tcPr>
          <w:p>
            <w:pPr>
              <w:spacing w:line="259" w:lineRule="auto"/>
              <w:jc w:val="center"/>
              <w:rPr>
                <w:rFonts w:ascii="Century Gothic" w:hAnsi="Century Gothic" w:cs="Arial"/>
                <w:b/>
                <w:bCs/>
              </w:rPr>
            </w:pPr>
            <w:r>
              <w:rPr>
                <w:rFonts w:ascii="Century Gothic" w:hAnsi="Century Gothic" w:cs="Arial"/>
                <w:b/>
                <w:bCs/>
              </w:rPr>
              <w:t>SUMMER</w:t>
            </w:r>
          </w:p>
        </w:tc>
      </w:tr>
      <w:tr>
        <w:trPr>
          <w:tblHeader/>
          <w:jc w:val="center"/>
        </w:trPr>
        <w:tc>
          <w:tcPr>
            <w:tcW w:w="3666" w:type="dxa"/>
            <w:gridSpan w:val="2"/>
          </w:tcPr>
          <w:p>
            <w:pPr>
              <w:spacing w:line="259" w:lineRule="auto"/>
              <w:jc w:val="center"/>
              <w:rPr>
                <w:rFonts w:ascii="Century Gothic" w:hAnsi="Century Gothic" w:cs="Arial"/>
                <w:b/>
                <w:bCs/>
              </w:rPr>
            </w:pPr>
            <w:r>
              <w:rPr>
                <w:rFonts w:ascii="Century Gothic" w:hAnsi="Century Gothic" w:cs="Arial"/>
                <w:b/>
                <w:bCs/>
              </w:rPr>
              <w:t>Half term 1</w:t>
            </w:r>
          </w:p>
        </w:tc>
        <w:tc>
          <w:tcPr>
            <w:tcW w:w="1663" w:type="dxa"/>
          </w:tcPr>
          <w:p>
            <w:pPr>
              <w:spacing w:line="259" w:lineRule="auto"/>
              <w:jc w:val="center"/>
              <w:rPr>
                <w:rFonts w:ascii="Century Gothic" w:hAnsi="Century Gothic" w:cs="Arial"/>
                <w:b/>
                <w:bCs/>
              </w:rPr>
            </w:pPr>
            <w:r>
              <w:rPr>
                <w:rFonts w:ascii="Century Gothic" w:hAnsi="Century Gothic" w:cs="Arial"/>
                <w:b/>
                <w:bCs/>
              </w:rPr>
              <w:t>Half term 2</w:t>
            </w:r>
          </w:p>
        </w:tc>
        <w:tc>
          <w:tcPr>
            <w:tcW w:w="1663" w:type="dxa"/>
          </w:tcPr>
          <w:p>
            <w:pPr>
              <w:spacing w:line="259" w:lineRule="auto"/>
              <w:jc w:val="center"/>
              <w:rPr>
                <w:rFonts w:ascii="Century Gothic" w:hAnsi="Century Gothic" w:cs="Arial"/>
                <w:b/>
                <w:bCs/>
              </w:rPr>
            </w:pPr>
            <w:r>
              <w:rPr>
                <w:rFonts w:ascii="Century Gothic" w:hAnsi="Century Gothic" w:cs="Arial"/>
                <w:b/>
                <w:bCs/>
              </w:rPr>
              <w:t>Half term 3</w:t>
            </w:r>
          </w:p>
        </w:tc>
        <w:tc>
          <w:tcPr>
            <w:tcW w:w="2826" w:type="dxa"/>
            <w:gridSpan w:val="2"/>
          </w:tcPr>
          <w:p>
            <w:pPr>
              <w:spacing w:line="259" w:lineRule="auto"/>
              <w:jc w:val="center"/>
              <w:rPr>
                <w:rFonts w:ascii="Century Gothic" w:hAnsi="Century Gothic" w:cs="Arial"/>
                <w:b/>
                <w:bCs/>
              </w:rPr>
            </w:pPr>
            <w:r>
              <w:rPr>
                <w:rFonts w:ascii="Century Gothic" w:hAnsi="Century Gothic" w:cs="Arial"/>
                <w:b/>
                <w:bCs/>
              </w:rPr>
              <w:t>Half term 4</w:t>
            </w:r>
          </w:p>
        </w:tc>
        <w:tc>
          <w:tcPr>
            <w:tcW w:w="2776" w:type="dxa"/>
          </w:tcPr>
          <w:p>
            <w:pPr>
              <w:spacing w:line="259" w:lineRule="auto"/>
              <w:jc w:val="center"/>
              <w:rPr>
                <w:rFonts w:ascii="Century Gothic" w:hAnsi="Century Gothic" w:cs="Arial"/>
                <w:b/>
                <w:bCs/>
              </w:rPr>
            </w:pPr>
            <w:r>
              <w:rPr>
                <w:rFonts w:ascii="Century Gothic" w:hAnsi="Century Gothic" w:cs="Arial"/>
                <w:b/>
                <w:bCs/>
              </w:rPr>
              <w:t>Half Term 5</w:t>
            </w:r>
          </w:p>
        </w:tc>
        <w:tc>
          <w:tcPr>
            <w:tcW w:w="3366" w:type="dxa"/>
          </w:tcPr>
          <w:p>
            <w:pPr>
              <w:spacing w:line="259" w:lineRule="auto"/>
              <w:jc w:val="center"/>
              <w:rPr>
                <w:rFonts w:ascii="Century Gothic" w:hAnsi="Century Gothic" w:cs="Arial"/>
                <w:b/>
                <w:bCs/>
              </w:rPr>
            </w:pPr>
          </w:p>
        </w:tc>
      </w:tr>
      <w:tr>
        <w:trPr>
          <w:tblHeader/>
          <w:jc w:val="center"/>
        </w:trPr>
        <w:tc>
          <w:tcPr>
            <w:tcW w:w="3666" w:type="dxa"/>
            <w:gridSpan w:val="2"/>
          </w:tcPr>
          <w:p>
            <w:pPr>
              <w:spacing w:line="259" w:lineRule="auto"/>
              <w:jc w:val="center"/>
              <w:rPr>
                <w:rFonts w:ascii="Century Gothic" w:hAnsi="Century Gothic" w:cs="Arial"/>
                <w:b/>
                <w:bCs/>
              </w:rPr>
            </w:pPr>
            <w:r>
              <w:rPr>
                <w:rFonts w:ascii="Century Gothic" w:hAnsi="Century Gothic" w:cs="Arial"/>
                <w:b/>
                <w:bCs/>
              </w:rPr>
              <w:t xml:space="preserve">Changing Economic World  </w:t>
            </w:r>
          </w:p>
          <w:p>
            <w:pPr>
              <w:spacing w:line="259" w:lineRule="auto"/>
              <w:jc w:val="center"/>
              <w:rPr>
                <w:rFonts w:ascii="Century Gothic" w:hAnsi="Century Gothic" w:cs="Arial"/>
                <w:b/>
                <w:bCs/>
              </w:rPr>
            </w:pPr>
            <w:r>
              <w:rPr>
                <w:rFonts w:ascii="Century Gothic" w:hAnsi="Century Gothic" w:cs="Arial"/>
                <w:b/>
                <w:bCs/>
              </w:rPr>
              <w:t>(10 weeks)</w:t>
            </w:r>
          </w:p>
          <w:p>
            <w:pPr>
              <w:spacing w:line="259" w:lineRule="auto"/>
              <w:jc w:val="center"/>
              <w:rPr>
                <w:rFonts w:ascii="Century Gothic" w:hAnsi="Century Gothic" w:cs="Arial"/>
                <w:b/>
                <w:bCs/>
              </w:rPr>
            </w:pPr>
          </w:p>
        </w:tc>
        <w:tc>
          <w:tcPr>
            <w:tcW w:w="3326" w:type="dxa"/>
            <w:gridSpan w:val="2"/>
          </w:tcPr>
          <w:p>
            <w:pPr>
              <w:spacing w:line="259" w:lineRule="auto"/>
              <w:jc w:val="center"/>
              <w:rPr>
                <w:rFonts w:ascii="Century Gothic" w:hAnsi="Century Gothic" w:cs="Arial"/>
                <w:b/>
                <w:bCs/>
              </w:rPr>
            </w:pPr>
            <w:r>
              <w:rPr>
                <w:rFonts w:ascii="Century Gothic" w:hAnsi="Century Gothic" w:cs="Arial"/>
                <w:b/>
                <w:bCs/>
              </w:rPr>
              <w:t xml:space="preserve">Living World </w:t>
            </w:r>
          </w:p>
          <w:p>
            <w:pPr>
              <w:spacing w:line="259" w:lineRule="auto"/>
              <w:jc w:val="center"/>
              <w:rPr>
                <w:rFonts w:ascii="Century Gothic" w:hAnsi="Century Gothic" w:cs="Arial"/>
                <w:b/>
                <w:bCs/>
              </w:rPr>
            </w:pPr>
            <w:r>
              <w:rPr>
                <w:rFonts w:ascii="Century Gothic" w:hAnsi="Century Gothic" w:cs="Arial"/>
                <w:b/>
                <w:bCs/>
              </w:rPr>
              <w:t>(10 weeks)</w:t>
            </w:r>
          </w:p>
        </w:tc>
        <w:tc>
          <w:tcPr>
            <w:tcW w:w="2826" w:type="dxa"/>
            <w:gridSpan w:val="2"/>
          </w:tcPr>
          <w:p>
            <w:pPr>
              <w:spacing w:line="259" w:lineRule="auto"/>
              <w:jc w:val="center"/>
              <w:rPr>
                <w:rFonts w:ascii="Century Gothic" w:hAnsi="Century Gothic" w:cs="Arial"/>
                <w:b/>
                <w:bCs/>
              </w:rPr>
            </w:pPr>
            <w:r>
              <w:rPr>
                <w:rFonts w:ascii="Century Gothic" w:hAnsi="Century Gothic" w:cs="Arial"/>
                <w:b/>
                <w:bCs/>
              </w:rPr>
              <w:t>Geographical Applications</w:t>
            </w:r>
          </w:p>
        </w:tc>
        <w:tc>
          <w:tcPr>
            <w:tcW w:w="2776" w:type="dxa"/>
          </w:tcPr>
          <w:p>
            <w:pPr>
              <w:spacing w:line="259" w:lineRule="auto"/>
              <w:jc w:val="center"/>
              <w:rPr>
                <w:rFonts w:ascii="Century Gothic" w:hAnsi="Century Gothic" w:cs="Arial"/>
                <w:b/>
                <w:bCs/>
              </w:rPr>
            </w:pPr>
            <w:r>
              <w:rPr>
                <w:rFonts w:ascii="Century Gothic" w:hAnsi="Century Gothic" w:cs="Arial"/>
                <w:b/>
                <w:bCs/>
              </w:rPr>
              <w:t>Revision &amp; Exam Preparation</w:t>
            </w:r>
          </w:p>
        </w:tc>
        <w:tc>
          <w:tcPr>
            <w:tcW w:w="3366" w:type="dxa"/>
            <w:shd w:val="clear" w:color="auto" w:fill="000000" w:themeFill="text1"/>
          </w:tcPr>
          <w:p>
            <w:pPr>
              <w:spacing w:line="259" w:lineRule="auto"/>
              <w:jc w:val="center"/>
              <w:rPr>
                <w:rFonts w:ascii="Century Gothic" w:hAnsi="Century Gothic" w:cs="Arial"/>
                <w:b/>
                <w:bCs/>
              </w:rPr>
            </w:pPr>
          </w:p>
        </w:tc>
      </w:tr>
      <w:tr>
        <w:trPr>
          <w:trHeight w:val="227"/>
          <w:jc w:val="center"/>
        </w:trPr>
        <w:tc>
          <w:tcPr>
            <w:tcW w:w="15960" w:type="dxa"/>
            <w:gridSpan w:val="8"/>
            <w:shd w:val="clear" w:color="auto" w:fill="E7E6E6" w:themeFill="background2"/>
          </w:tcPr>
          <w:p>
            <w:pPr>
              <w:spacing w:line="259" w:lineRule="auto"/>
              <w:rPr>
                <w:rFonts w:ascii="Century Gothic" w:hAnsi="Century Gothic" w:cs="Arial"/>
                <w:sz w:val="20"/>
                <w:szCs w:val="20"/>
              </w:rPr>
            </w:pPr>
            <w:r>
              <w:rPr>
                <w:rFonts w:ascii="Century Gothic" w:hAnsi="Century Gothic" w:cs="Arial"/>
                <w:sz w:val="20"/>
                <w:szCs w:val="20"/>
              </w:rPr>
              <w:t xml:space="preserve">By the end of this half term pupils will know </w:t>
            </w:r>
            <w:r>
              <w:rPr>
                <w:rFonts w:ascii="Century Gothic" w:hAnsi="Century Gothic" w:cs="Arial"/>
                <w:i/>
                <w:iCs/>
                <w:sz w:val="18"/>
                <w:szCs w:val="18"/>
              </w:rPr>
              <w:t>(key knowledge, including tier 3 vocabulary):</w:t>
            </w:r>
          </w:p>
        </w:tc>
      </w:tr>
      <w:tr>
        <w:trPr>
          <w:jc w:val="center"/>
        </w:trPr>
        <w:tc>
          <w:tcPr>
            <w:tcW w:w="3666" w:type="dxa"/>
            <w:gridSpan w:val="2"/>
          </w:tcPr>
          <w:p>
            <w:pPr>
              <w:pStyle w:val="ListParagraph"/>
              <w:numPr>
                <w:ilvl w:val="0"/>
                <w:numId w:val="13"/>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Different ways of classifying parts of the world according to their level of economic development and quality of life. </w:t>
            </w:r>
          </w:p>
          <w:p>
            <w:pPr>
              <w:pStyle w:val="ListParagraph"/>
              <w:numPr>
                <w:ilvl w:val="0"/>
                <w:numId w:val="13"/>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Different economic and social measures of development: gross national income (GNI) per head, birth and death rates, infant mortality, life expectancy, people per doctor, literacy rates, access to safe water, Human Development Index (HDI).</w:t>
            </w:r>
          </w:p>
          <w:p>
            <w:pPr>
              <w:pStyle w:val="ListParagraph"/>
              <w:numPr>
                <w:ilvl w:val="0"/>
                <w:numId w:val="13"/>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Limitations of economic and social measures.</w:t>
            </w:r>
          </w:p>
          <w:p>
            <w:pPr>
              <w:pStyle w:val="ListParagraph"/>
              <w:numPr>
                <w:ilvl w:val="0"/>
                <w:numId w:val="13"/>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Link between stages of the Demographic Transition Model and the level of development. </w:t>
            </w:r>
          </w:p>
          <w:p>
            <w:pPr>
              <w:pStyle w:val="ListParagraph"/>
              <w:numPr>
                <w:ilvl w:val="0"/>
                <w:numId w:val="13"/>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Causes of uneven development: physical, economic and historical. </w:t>
            </w:r>
          </w:p>
          <w:p>
            <w:pPr>
              <w:pStyle w:val="ListParagraph"/>
              <w:numPr>
                <w:ilvl w:val="0"/>
                <w:numId w:val="13"/>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Consequences of uneven development: disparities in wealth and health, international migration.</w:t>
            </w:r>
          </w:p>
          <w:p>
            <w:pPr>
              <w:pStyle w:val="ListParagraph"/>
              <w:numPr>
                <w:ilvl w:val="0"/>
                <w:numId w:val="15"/>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An overview of the strategies used to reduce the development gap</w:t>
            </w:r>
          </w:p>
          <w:p>
            <w:pPr>
              <w:pStyle w:val="ListParagraph"/>
              <w:numPr>
                <w:ilvl w:val="0"/>
                <w:numId w:val="15"/>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An </w:t>
            </w:r>
            <w:r>
              <w:rPr>
                <w:rFonts w:ascii="Century Gothic" w:eastAsia="Times New Roman" w:hAnsi="Century Gothic" w:cs="Times New Roman"/>
                <w:b/>
                <w:bCs/>
                <w:color w:val="333333"/>
                <w:sz w:val="20"/>
                <w:szCs w:val="20"/>
                <w:lang w:eastAsia="en-GB"/>
              </w:rPr>
              <w:t>example</w:t>
            </w:r>
            <w:r>
              <w:rPr>
                <w:rFonts w:ascii="Century Gothic" w:eastAsia="Times New Roman" w:hAnsi="Century Gothic" w:cs="Times New Roman"/>
                <w:color w:val="333333"/>
                <w:sz w:val="20"/>
                <w:szCs w:val="20"/>
                <w:lang w:eastAsia="en-GB"/>
              </w:rPr>
              <w:t> of how the growth of tourism in an LIC or NEE helps to reduce the development gap.</w:t>
            </w:r>
          </w:p>
          <w:p>
            <w:pPr>
              <w:pStyle w:val="ListParagraph"/>
              <w:numPr>
                <w:ilvl w:val="0"/>
                <w:numId w:val="15"/>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A </w:t>
            </w:r>
            <w:r>
              <w:rPr>
                <w:rFonts w:ascii="Century Gothic" w:eastAsia="Times New Roman" w:hAnsi="Century Gothic" w:cs="Times New Roman"/>
                <w:b/>
                <w:bCs/>
                <w:color w:val="333333"/>
                <w:sz w:val="20"/>
                <w:szCs w:val="20"/>
                <w:lang w:eastAsia="en-GB"/>
              </w:rPr>
              <w:t>case study</w:t>
            </w:r>
            <w:r>
              <w:rPr>
                <w:rFonts w:ascii="Century Gothic" w:eastAsia="Times New Roman" w:hAnsi="Century Gothic" w:cs="Times New Roman"/>
                <w:color w:val="333333"/>
                <w:sz w:val="20"/>
                <w:szCs w:val="20"/>
                <w:lang w:eastAsia="en-GB"/>
              </w:rPr>
              <w:t>  to illustrate change as a result of rapid economic development</w:t>
            </w:r>
          </w:p>
          <w:p>
            <w:pPr>
              <w:pStyle w:val="ListParagraph"/>
              <w:numPr>
                <w:ilvl w:val="0"/>
                <w:numId w:val="15"/>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Economic futures in the UK:</w:t>
            </w:r>
          </w:p>
        </w:tc>
        <w:tc>
          <w:tcPr>
            <w:tcW w:w="3326" w:type="dxa"/>
            <w:gridSpan w:val="2"/>
          </w:tcPr>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The balance between components. The impact on the ecosystem of changing one component.</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An overview of the distribution and characteristics of large scale natural global ecosystems.</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The physical characteristics of a tropical rainforest.</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The interdependence of climate, water, soils, plants, animals and people.</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How plants and animals adapt to the physical conditions.</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Issues related to biodiversity.</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Changing rates of deforestation. </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Value of tropical rainforests to people and the environment.</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Strategies used to manage the rainforest sustainably – selective logging and replanting, conservation and education, ecotourism and international agreements about the use of tropical hardwoods, debt reduction.</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The physical characteristics of a cold environment.</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The interdependence of climate, permafrost, soils, plants, animals and people.</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How plants and animals adapt to the physical conditions.</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Issues related to biodiversity.</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The value of cold environments as wilderness areas and why these fragile environments should be protected.</w:t>
            </w:r>
          </w:p>
          <w:p>
            <w:pPr>
              <w:pStyle w:val="ListParagraph"/>
              <w:numPr>
                <w:ilvl w:val="0"/>
                <w:numId w:val="16"/>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Strategies used to balance the needs of economic development and conservation in cold environments – use of technology, role of governments, international agreements and conservation groups.</w:t>
            </w:r>
          </w:p>
        </w:tc>
        <w:tc>
          <w:tcPr>
            <w:tcW w:w="2826" w:type="dxa"/>
            <w:gridSpan w:val="2"/>
          </w:tcPr>
          <w:p>
            <w:pPr>
              <w:spacing w:line="259" w:lineRule="auto"/>
              <w:rPr>
                <w:rFonts w:ascii="Century Gothic" w:hAnsi="Century Gothic" w:cs="Arial"/>
                <w:b/>
                <w:bCs/>
                <w:sz w:val="20"/>
                <w:szCs w:val="20"/>
              </w:rPr>
            </w:pPr>
            <w:r>
              <w:rPr>
                <w:rFonts w:ascii="Century Gothic" w:hAnsi="Century Gothic" w:cs="Arial"/>
                <w:b/>
                <w:bCs/>
                <w:sz w:val="20"/>
                <w:szCs w:val="20"/>
              </w:rPr>
              <w:t>Pre-release issues analysis information is released by the exam board in March.</w:t>
            </w:r>
          </w:p>
          <w:p>
            <w:pPr>
              <w:pStyle w:val="ListParagraph"/>
              <w:numPr>
                <w:ilvl w:val="0"/>
                <w:numId w:val="2"/>
              </w:numPr>
              <w:spacing w:line="259" w:lineRule="auto"/>
              <w:rPr>
                <w:rFonts w:eastAsiaTheme="minorEastAsia"/>
                <w:sz w:val="20"/>
                <w:szCs w:val="20"/>
              </w:rPr>
            </w:pPr>
            <w:r>
              <w:rPr>
                <w:rFonts w:ascii="Century Gothic" w:hAnsi="Century Gothic" w:cs="Arial"/>
                <w:sz w:val="20"/>
                <w:szCs w:val="20"/>
              </w:rPr>
              <w:t>How to answer questions in Section A of Paper 3</w:t>
            </w:r>
          </w:p>
          <w:p>
            <w:pPr>
              <w:pStyle w:val="ListParagraph"/>
              <w:numPr>
                <w:ilvl w:val="0"/>
                <w:numId w:val="2"/>
              </w:numPr>
              <w:spacing w:line="259" w:lineRule="auto"/>
              <w:rPr>
                <w:sz w:val="20"/>
                <w:szCs w:val="20"/>
              </w:rPr>
            </w:pPr>
            <w:r>
              <w:rPr>
                <w:rFonts w:ascii="Century Gothic" w:hAnsi="Century Gothic" w:cs="Arial"/>
                <w:sz w:val="20"/>
                <w:szCs w:val="20"/>
              </w:rPr>
              <w:t>How to apply data from different figures in Pre-release material to different types of question type</w:t>
            </w:r>
          </w:p>
          <w:p>
            <w:pPr>
              <w:pStyle w:val="ListParagraph"/>
              <w:numPr>
                <w:ilvl w:val="0"/>
                <w:numId w:val="2"/>
              </w:numPr>
              <w:spacing w:line="259" w:lineRule="auto"/>
              <w:rPr>
                <w:sz w:val="20"/>
                <w:szCs w:val="20"/>
              </w:rPr>
            </w:pPr>
            <w:r>
              <w:rPr>
                <w:rFonts w:ascii="Century Gothic" w:hAnsi="Century Gothic" w:cs="Arial"/>
                <w:sz w:val="20"/>
                <w:szCs w:val="20"/>
              </w:rPr>
              <w:t>What their overall point of view is on the issue presented</w:t>
            </w:r>
          </w:p>
          <w:p>
            <w:pPr>
              <w:pStyle w:val="ListParagraph"/>
              <w:numPr>
                <w:ilvl w:val="0"/>
                <w:numId w:val="2"/>
              </w:numPr>
              <w:spacing w:line="259" w:lineRule="auto"/>
              <w:rPr>
                <w:sz w:val="20"/>
                <w:szCs w:val="20"/>
              </w:rPr>
            </w:pPr>
            <w:r>
              <w:rPr>
                <w:rFonts w:ascii="Century Gothic" w:hAnsi="Century Gothic" w:cs="Arial"/>
                <w:sz w:val="20"/>
                <w:szCs w:val="20"/>
              </w:rPr>
              <w:t>How to use evidence across the resources to justify their opinion</w:t>
            </w:r>
          </w:p>
        </w:tc>
        <w:tc>
          <w:tcPr>
            <w:tcW w:w="2776" w:type="dxa"/>
          </w:tcPr>
          <w:p>
            <w:pPr>
              <w:pStyle w:val="ListParagraph"/>
              <w:numPr>
                <w:ilvl w:val="0"/>
                <w:numId w:val="2"/>
              </w:numPr>
              <w:spacing w:line="259" w:lineRule="auto"/>
              <w:rPr>
                <w:rFonts w:eastAsiaTheme="minorEastAsia"/>
                <w:sz w:val="20"/>
                <w:szCs w:val="20"/>
              </w:rPr>
            </w:pPr>
            <w:r>
              <w:rPr>
                <w:rFonts w:ascii="Century Gothic" w:hAnsi="Century Gothic" w:cs="Arial"/>
                <w:sz w:val="20"/>
                <w:szCs w:val="20"/>
              </w:rPr>
              <w:t>Core vocabulary across Y10 and Year 11</w:t>
            </w:r>
          </w:p>
          <w:p>
            <w:pPr>
              <w:pStyle w:val="ListParagraph"/>
              <w:numPr>
                <w:ilvl w:val="0"/>
                <w:numId w:val="2"/>
              </w:numPr>
              <w:spacing w:line="259" w:lineRule="auto"/>
              <w:rPr>
                <w:sz w:val="20"/>
                <w:szCs w:val="20"/>
              </w:rPr>
            </w:pPr>
            <w:r>
              <w:rPr>
                <w:rFonts w:ascii="Century Gothic" w:hAnsi="Century Gothic" w:cs="Arial"/>
                <w:sz w:val="20"/>
                <w:szCs w:val="20"/>
              </w:rPr>
              <w:t>Case study material for all topic areas</w:t>
            </w:r>
          </w:p>
          <w:p>
            <w:pPr>
              <w:pStyle w:val="ListParagraph"/>
              <w:numPr>
                <w:ilvl w:val="0"/>
                <w:numId w:val="2"/>
              </w:numPr>
              <w:spacing w:line="259" w:lineRule="auto"/>
              <w:rPr>
                <w:sz w:val="20"/>
                <w:szCs w:val="20"/>
              </w:rPr>
            </w:pPr>
            <w:r>
              <w:rPr>
                <w:rFonts w:ascii="Century Gothic" w:hAnsi="Century Gothic" w:cs="Arial"/>
                <w:sz w:val="20"/>
                <w:szCs w:val="20"/>
              </w:rPr>
              <w:t>Physical processes for Natural Hazards, Living World and Physical Landscapes of the UK: Coasts and Glacial Landscapes</w:t>
            </w:r>
          </w:p>
          <w:p>
            <w:pPr>
              <w:pStyle w:val="ListParagraph"/>
              <w:numPr>
                <w:ilvl w:val="0"/>
                <w:numId w:val="2"/>
              </w:numPr>
              <w:spacing w:line="259" w:lineRule="auto"/>
              <w:rPr>
                <w:sz w:val="20"/>
                <w:szCs w:val="20"/>
              </w:rPr>
            </w:pPr>
            <w:r>
              <w:rPr>
                <w:rFonts w:ascii="Century Gothic" w:hAnsi="Century Gothic" w:cs="Arial"/>
                <w:sz w:val="20"/>
                <w:szCs w:val="20"/>
              </w:rPr>
              <w:t>Human processes for Urban Issues and Challenges, Changing Economic World and The Challenge of Resource Management</w:t>
            </w:r>
          </w:p>
          <w:p>
            <w:pPr>
              <w:pStyle w:val="ListParagraph"/>
              <w:numPr>
                <w:ilvl w:val="0"/>
                <w:numId w:val="2"/>
              </w:numPr>
              <w:spacing w:line="259" w:lineRule="auto"/>
              <w:rPr>
                <w:sz w:val="20"/>
                <w:szCs w:val="20"/>
              </w:rPr>
            </w:pPr>
            <w:r>
              <w:rPr>
                <w:rFonts w:ascii="Century Gothic" w:hAnsi="Century Gothic" w:cs="Arial"/>
                <w:sz w:val="20"/>
                <w:szCs w:val="20"/>
              </w:rPr>
              <w:t>Command words and their meanings</w:t>
            </w:r>
          </w:p>
        </w:tc>
        <w:tc>
          <w:tcPr>
            <w:tcW w:w="3366" w:type="dxa"/>
            <w:shd w:val="clear" w:color="auto" w:fill="000000" w:themeFill="text1"/>
          </w:tcPr>
          <w:p>
            <w:pPr>
              <w:spacing w:line="259" w:lineRule="auto"/>
              <w:rPr>
                <w:rFonts w:ascii="Century Gothic" w:hAnsi="Century Gothic" w:cs="Arial"/>
                <w:sz w:val="20"/>
                <w:szCs w:val="20"/>
              </w:rPr>
            </w:pPr>
          </w:p>
        </w:tc>
      </w:tr>
      <w:tr>
        <w:trPr>
          <w:jc w:val="center"/>
        </w:trPr>
        <w:tc>
          <w:tcPr>
            <w:tcW w:w="3666" w:type="dxa"/>
            <w:gridSpan w:val="2"/>
          </w:tcPr>
          <w:p>
            <w:pPr>
              <w:spacing w:line="259" w:lineRule="auto"/>
              <w:rPr>
                <w:rFonts w:ascii="Century Gothic" w:hAnsi="Century Gothic" w:cs="Arial"/>
                <w:b/>
                <w:bCs/>
                <w:i/>
                <w:iCs/>
                <w:sz w:val="20"/>
                <w:szCs w:val="20"/>
              </w:rPr>
            </w:pPr>
            <w:r>
              <w:rPr>
                <w:rFonts w:ascii="Century Gothic" w:hAnsi="Century Gothic" w:cs="Arial"/>
                <w:b/>
                <w:bCs/>
                <w:i/>
                <w:iCs/>
                <w:sz w:val="20"/>
                <w:szCs w:val="20"/>
              </w:rPr>
              <w:t>Tier 3 vocabulary</w:t>
            </w:r>
          </w:p>
          <w:p>
            <w:pPr>
              <w:spacing w:line="259" w:lineRule="auto"/>
              <w:rPr>
                <w:rFonts w:ascii="Century Gothic" w:hAnsi="Century Gothic"/>
              </w:rPr>
            </w:pPr>
            <w:r>
              <w:rPr>
                <w:rFonts w:ascii="Century Gothic" w:eastAsia="Century Gothic" w:hAnsi="Century Gothic" w:cs="Century Gothic"/>
                <w:color w:val="000000" w:themeColor="text1"/>
                <w:sz w:val="18"/>
                <w:szCs w:val="18"/>
              </w:rPr>
              <w:t>Birth rate, Commonwealth, Death rate, De-industrialisation, Demographic Transition Model, Development, Development gap, European Union, Fairtrade, Globalisation, Gross national income (GNI), Human Development Index (HDI), Industrial structure, Infant mortality, Information technologies, Intermediate technology, International aid, Life expectancy, Literacy rate, Microfinance loans, North-south divide (UK), Post-industrial economy, Science and business parks, Service industries (tertiary industries), Trade, Transnational Corporation (TNC)</w:t>
            </w:r>
            <w:bookmarkStart w:id="0" w:name="_GoBack"/>
            <w:bookmarkEnd w:id="0"/>
          </w:p>
        </w:tc>
        <w:tc>
          <w:tcPr>
            <w:tcW w:w="3326" w:type="dxa"/>
            <w:gridSpan w:val="2"/>
          </w:tcPr>
          <w:p>
            <w:pPr>
              <w:spacing w:line="259" w:lineRule="auto"/>
              <w:rPr>
                <w:rFonts w:ascii="Century Gothic" w:hAnsi="Century Gothic" w:cs="Arial"/>
                <w:b/>
                <w:bCs/>
                <w:i/>
                <w:iCs/>
                <w:sz w:val="20"/>
                <w:szCs w:val="20"/>
              </w:rPr>
            </w:pPr>
            <w:r>
              <w:rPr>
                <w:rFonts w:ascii="Century Gothic" w:hAnsi="Century Gothic" w:cs="Arial"/>
                <w:b/>
                <w:bCs/>
                <w:i/>
                <w:iCs/>
                <w:sz w:val="20"/>
                <w:szCs w:val="20"/>
              </w:rPr>
              <w:t>Tier 3 vocabulary</w:t>
            </w:r>
          </w:p>
          <w:p>
            <w:pPr>
              <w:spacing w:line="259" w:lineRule="auto"/>
              <w:rPr>
                <w:rFonts w:ascii="Century Gothic" w:eastAsia="Century Gothic" w:hAnsi="Century Gothic" w:cs="Century Gothic"/>
                <w:color w:val="000000" w:themeColor="text1"/>
                <w:sz w:val="18"/>
                <w:szCs w:val="18"/>
              </w:rPr>
            </w:pPr>
            <w:r>
              <w:rPr>
                <w:rFonts w:ascii="Century Gothic" w:eastAsia="Century Gothic" w:hAnsi="Century Gothic" w:cs="Century Gothic"/>
                <w:color w:val="000000" w:themeColor="text1"/>
                <w:sz w:val="18"/>
                <w:szCs w:val="18"/>
              </w:rPr>
              <w:t>Abiotic, Biodiversity, Biotic, Commercial farming, Consumer, Debt reduction, Decomposer, Deforestation, Ecosystem, Ecosystems, Ecotourism, Food chain, Food web, Fragile environment, Global ecosystem, Infrastructure, Logging, Mineral extraction, Mineral extraction, Nutrient cycling, Permafrost, Polar, Producer, Selective logging, Soil erosion, Subsistence farming, Sustainability, Tundra, Wilderness area</w:t>
            </w:r>
          </w:p>
        </w:tc>
        <w:tc>
          <w:tcPr>
            <w:tcW w:w="2826" w:type="dxa"/>
            <w:gridSpan w:val="2"/>
          </w:tcPr>
          <w:p>
            <w:pPr>
              <w:spacing w:line="259" w:lineRule="auto"/>
              <w:rPr>
                <w:rFonts w:ascii="Century Gothic" w:hAnsi="Century Gothic" w:cs="Arial"/>
                <w:b/>
                <w:bCs/>
                <w:i/>
                <w:iCs/>
                <w:sz w:val="20"/>
                <w:szCs w:val="20"/>
              </w:rPr>
            </w:pPr>
            <w:r>
              <w:rPr>
                <w:rFonts w:ascii="Century Gothic" w:hAnsi="Century Gothic" w:cs="Arial"/>
                <w:b/>
                <w:bCs/>
                <w:i/>
                <w:iCs/>
                <w:sz w:val="20"/>
                <w:szCs w:val="20"/>
              </w:rPr>
              <w:t>Tier 3 vocabulary</w:t>
            </w:r>
          </w:p>
          <w:p>
            <w:pPr>
              <w:spacing w:line="259" w:lineRule="auto"/>
              <w:rPr>
                <w:rFonts w:ascii="Century Gothic" w:hAnsi="Century Gothic" w:cs="Arial"/>
                <w:sz w:val="20"/>
                <w:szCs w:val="20"/>
              </w:rPr>
            </w:pPr>
            <w:r>
              <w:rPr>
                <w:rFonts w:ascii="Century Gothic" w:hAnsi="Century Gothic" w:cs="Arial"/>
                <w:i/>
                <w:iCs/>
                <w:sz w:val="20"/>
                <w:szCs w:val="20"/>
              </w:rPr>
              <w:t>Stakeholder, evaluation, social, economic, environmental, political, historical factors, human processes, physical processes</w:t>
            </w:r>
          </w:p>
        </w:tc>
        <w:tc>
          <w:tcPr>
            <w:tcW w:w="2776" w:type="dxa"/>
          </w:tcPr>
          <w:p>
            <w:pPr>
              <w:spacing w:line="259" w:lineRule="auto"/>
              <w:rPr>
                <w:rFonts w:ascii="Century Gothic" w:hAnsi="Century Gothic" w:cs="Arial"/>
                <w:b/>
                <w:bCs/>
                <w:i/>
                <w:iCs/>
                <w:sz w:val="20"/>
                <w:szCs w:val="20"/>
              </w:rPr>
            </w:pPr>
            <w:r>
              <w:rPr>
                <w:rFonts w:ascii="Century Gothic" w:hAnsi="Century Gothic" w:cs="Arial"/>
                <w:b/>
                <w:bCs/>
                <w:i/>
                <w:iCs/>
                <w:sz w:val="20"/>
                <w:szCs w:val="20"/>
              </w:rPr>
              <w:t>Tier 3 vocabulary</w:t>
            </w:r>
          </w:p>
          <w:p>
            <w:pPr>
              <w:spacing w:line="259" w:lineRule="auto"/>
              <w:rPr>
                <w:rFonts w:ascii="Century Gothic" w:hAnsi="Century Gothic" w:cs="Arial"/>
                <w:b/>
                <w:bCs/>
                <w:i/>
                <w:iCs/>
                <w:sz w:val="20"/>
                <w:szCs w:val="20"/>
              </w:rPr>
            </w:pPr>
            <w:r>
              <w:rPr>
                <w:rFonts w:ascii="Century Gothic" w:hAnsi="Century Gothic" w:cs="Arial"/>
                <w:i/>
                <w:iCs/>
                <w:sz w:val="20"/>
                <w:szCs w:val="20"/>
              </w:rPr>
              <w:t>Command words, Assess, Calculate, Compare, Complete, Describe, Discuss, Evaluate, Explain, Give, Identify, Justify, Outline, State, Suggest, To what extent, Use evidence to support this statement</w:t>
            </w:r>
          </w:p>
        </w:tc>
        <w:tc>
          <w:tcPr>
            <w:tcW w:w="3366" w:type="dxa"/>
            <w:shd w:val="clear" w:color="auto" w:fill="000000" w:themeFill="text1"/>
          </w:tcPr>
          <w:p>
            <w:pPr>
              <w:spacing w:line="259" w:lineRule="auto"/>
              <w:rPr>
                <w:rFonts w:ascii="Century Gothic" w:hAnsi="Century Gothic" w:cs="Arial"/>
                <w:b/>
                <w:bCs/>
                <w:i/>
                <w:iCs/>
                <w:sz w:val="20"/>
                <w:szCs w:val="20"/>
              </w:rPr>
            </w:pPr>
          </w:p>
        </w:tc>
      </w:tr>
      <w:tr>
        <w:trPr>
          <w:jc w:val="center"/>
        </w:trPr>
        <w:tc>
          <w:tcPr>
            <w:tcW w:w="15960" w:type="dxa"/>
            <w:gridSpan w:val="8"/>
            <w:shd w:val="clear" w:color="auto" w:fill="E7E6E6" w:themeFill="background2"/>
          </w:tcPr>
          <w:p>
            <w:pPr>
              <w:spacing w:line="259" w:lineRule="auto"/>
              <w:rPr>
                <w:rFonts w:ascii="Century Gothic" w:hAnsi="Century Gothic" w:cs="Arial"/>
                <w:sz w:val="20"/>
                <w:szCs w:val="20"/>
              </w:rPr>
            </w:pPr>
            <w:r>
              <w:rPr>
                <w:rFonts w:ascii="Century Gothic" w:hAnsi="Century Gothic" w:cs="Arial"/>
                <w:sz w:val="20"/>
                <w:szCs w:val="20"/>
              </w:rPr>
              <w:t xml:space="preserve">They will understand </w:t>
            </w:r>
            <w:r>
              <w:rPr>
                <w:rFonts w:ascii="Century Gothic" w:hAnsi="Century Gothic" w:cs="Arial"/>
                <w:i/>
                <w:iCs/>
                <w:sz w:val="18"/>
                <w:szCs w:val="18"/>
              </w:rPr>
              <w:t>(key concepts):</w:t>
            </w:r>
            <w:r>
              <w:rPr>
                <w:rFonts w:ascii="Century Gothic" w:hAnsi="Century Gothic" w:cs="Arial"/>
                <w:sz w:val="18"/>
                <w:szCs w:val="18"/>
              </w:rPr>
              <w:t xml:space="preserve">   </w:t>
            </w:r>
          </w:p>
        </w:tc>
      </w:tr>
      <w:tr>
        <w:trPr>
          <w:jc w:val="center"/>
        </w:trPr>
        <w:tc>
          <w:tcPr>
            <w:tcW w:w="3666" w:type="dxa"/>
            <w:gridSpan w:val="2"/>
          </w:tcPr>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There are global variations in economic development and quality of life.</w:t>
            </w:r>
          </w:p>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Various strategies exist for reducing the global development gap.</w:t>
            </w:r>
          </w:p>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Some LICs and NEEs are experiencing rapid economic development which leads to significant social, environmental and cultural change.</w:t>
            </w:r>
          </w:p>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Major changes in the economy of the UK have affected, and will continue to affect, employment patterns and regional growth.</w:t>
            </w:r>
          </w:p>
        </w:tc>
        <w:tc>
          <w:tcPr>
            <w:tcW w:w="3326" w:type="dxa"/>
            <w:gridSpan w:val="2"/>
          </w:tcPr>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Ecosystems exist at a range of scales and involve the interaction between biotic and abiotic components.</w:t>
            </w:r>
          </w:p>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Tropical rainforest ecosystems have a range of distinctive characteristics.</w:t>
            </w:r>
          </w:p>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Deforestation has economic and environmental impacts.</w:t>
            </w:r>
          </w:p>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Tropical rainforests need to be managed to be sustainable.</w:t>
            </w:r>
          </w:p>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Cold environments (polar and tundra) have a range of distinctive characteristics.</w:t>
            </w:r>
          </w:p>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Development of cold environments creates opportunities and challenges.</w:t>
            </w:r>
          </w:p>
          <w:p>
            <w:pPr>
              <w:pStyle w:val="ListParagraph"/>
              <w:numPr>
                <w:ilvl w:val="0"/>
                <w:numId w:val="14"/>
              </w:numPr>
              <w:rPr>
                <w:rFonts w:ascii="Century Gothic" w:eastAsia="Times New Roman" w:hAnsi="Century Gothic" w:cs="Times New Roman"/>
                <w:color w:val="333333"/>
                <w:sz w:val="20"/>
                <w:szCs w:val="20"/>
                <w:lang w:eastAsia="en-GB"/>
              </w:rPr>
            </w:pPr>
            <w:r>
              <w:rPr>
                <w:rFonts w:ascii="Century Gothic" w:eastAsia="Times New Roman" w:hAnsi="Century Gothic" w:cs="Times New Roman"/>
                <w:color w:val="333333"/>
                <w:sz w:val="20"/>
                <w:szCs w:val="20"/>
                <w:lang w:eastAsia="en-GB"/>
              </w:rPr>
              <w:t>Cold environments are at risk from economic development.</w:t>
            </w:r>
          </w:p>
          <w:p>
            <w:pPr>
              <w:spacing w:line="259" w:lineRule="auto"/>
              <w:rPr>
                <w:rFonts w:ascii="Century Gothic" w:hAnsi="Century Gothic" w:cs="Arial"/>
                <w:sz w:val="20"/>
                <w:szCs w:val="20"/>
              </w:rPr>
            </w:pPr>
          </w:p>
        </w:tc>
        <w:tc>
          <w:tcPr>
            <w:tcW w:w="2826" w:type="dxa"/>
            <w:gridSpan w:val="2"/>
          </w:tcPr>
          <w:p>
            <w:pPr>
              <w:spacing w:line="259" w:lineRule="auto"/>
              <w:rPr>
                <w:rFonts w:ascii="Century Gothic" w:hAnsi="Century Gothic" w:cs="Arial"/>
                <w:b/>
                <w:bCs/>
                <w:sz w:val="20"/>
                <w:szCs w:val="20"/>
              </w:rPr>
            </w:pPr>
            <w:r>
              <w:rPr>
                <w:rFonts w:ascii="Century Gothic" w:hAnsi="Century Gothic" w:cs="Arial"/>
                <w:b/>
                <w:bCs/>
                <w:sz w:val="20"/>
                <w:szCs w:val="20"/>
              </w:rPr>
              <w:t xml:space="preserve">The key concepts will be informed by the focus of the pre-release issues analysis resources </w:t>
            </w:r>
          </w:p>
          <w:p>
            <w:pPr>
              <w:pStyle w:val="ListParagraph"/>
              <w:numPr>
                <w:ilvl w:val="0"/>
                <w:numId w:val="1"/>
              </w:numPr>
              <w:spacing w:line="259" w:lineRule="auto"/>
              <w:rPr>
                <w:rFonts w:eastAsiaTheme="minorEastAsia"/>
                <w:sz w:val="20"/>
                <w:szCs w:val="20"/>
              </w:rPr>
            </w:pPr>
            <w:r>
              <w:rPr>
                <w:rFonts w:ascii="Century Gothic" w:hAnsi="Century Gothic" w:cs="Arial"/>
                <w:sz w:val="20"/>
                <w:szCs w:val="20"/>
              </w:rPr>
              <w:t>How to use resources across the pre-release material</w:t>
            </w:r>
          </w:p>
          <w:p>
            <w:pPr>
              <w:spacing w:line="259" w:lineRule="auto"/>
              <w:rPr>
                <w:rFonts w:ascii="Century Gothic" w:hAnsi="Century Gothic" w:cs="Arial"/>
                <w:sz w:val="20"/>
                <w:szCs w:val="20"/>
              </w:rPr>
            </w:pPr>
          </w:p>
        </w:tc>
        <w:tc>
          <w:tcPr>
            <w:tcW w:w="2776" w:type="dxa"/>
          </w:tcPr>
          <w:p>
            <w:pPr>
              <w:pStyle w:val="ListParagraph"/>
              <w:numPr>
                <w:ilvl w:val="0"/>
                <w:numId w:val="1"/>
              </w:numPr>
              <w:spacing w:line="259" w:lineRule="auto"/>
              <w:rPr>
                <w:rFonts w:eastAsiaTheme="minorEastAsia"/>
                <w:sz w:val="20"/>
                <w:szCs w:val="20"/>
              </w:rPr>
            </w:pPr>
            <w:r>
              <w:rPr>
                <w:rFonts w:ascii="Century Gothic" w:hAnsi="Century Gothic" w:cs="Arial"/>
                <w:sz w:val="20"/>
                <w:szCs w:val="20"/>
              </w:rPr>
              <w:t>How to answer a range of different questions stems</w:t>
            </w:r>
          </w:p>
          <w:p>
            <w:pPr>
              <w:pStyle w:val="ListParagraph"/>
              <w:numPr>
                <w:ilvl w:val="0"/>
                <w:numId w:val="1"/>
              </w:numPr>
              <w:spacing w:line="259" w:lineRule="auto"/>
              <w:rPr>
                <w:sz w:val="20"/>
                <w:szCs w:val="20"/>
              </w:rPr>
            </w:pPr>
            <w:r>
              <w:rPr>
                <w:rFonts w:ascii="Century Gothic" w:hAnsi="Century Gothic" w:cs="Arial"/>
                <w:sz w:val="20"/>
                <w:szCs w:val="20"/>
              </w:rPr>
              <w:t>How to prepare effectively for each examination paper</w:t>
            </w:r>
          </w:p>
        </w:tc>
        <w:tc>
          <w:tcPr>
            <w:tcW w:w="3366" w:type="dxa"/>
            <w:shd w:val="clear" w:color="auto" w:fill="000000" w:themeFill="text1"/>
          </w:tcPr>
          <w:p>
            <w:pPr>
              <w:spacing w:line="259" w:lineRule="auto"/>
              <w:rPr>
                <w:rFonts w:ascii="Century Gothic" w:hAnsi="Century Gothic" w:cs="Arial"/>
                <w:sz w:val="20"/>
                <w:szCs w:val="20"/>
              </w:rPr>
            </w:pPr>
          </w:p>
        </w:tc>
      </w:tr>
      <w:tr>
        <w:trPr>
          <w:jc w:val="center"/>
        </w:trPr>
        <w:tc>
          <w:tcPr>
            <w:tcW w:w="15960" w:type="dxa"/>
            <w:gridSpan w:val="8"/>
            <w:shd w:val="clear" w:color="auto" w:fill="E7E6E6" w:themeFill="background2"/>
          </w:tcPr>
          <w:p>
            <w:pPr>
              <w:spacing w:line="259" w:lineRule="auto"/>
              <w:rPr>
                <w:rFonts w:ascii="Century Gothic" w:hAnsi="Century Gothic" w:cs="Arial"/>
                <w:sz w:val="20"/>
                <w:szCs w:val="20"/>
              </w:rPr>
            </w:pPr>
            <w:r>
              <w:rPr>
                <w:rFonts w:ascii="Century Gothic" w:hAnsi="Century Gothic" w:cs="Arial"/>
                <w:sz w:val="20"/>
                <w:szCs w:val="20"/>
              </w:rPr>
              <w:t xml:space="preserve">They will know how to </w:t>
            </w:r>
            <w:r>
              <w:rPr>
                <w:rFonts w:ascii="Century Gothic" w:hAnsi="Century Gothic" w:cs="Arial"/>
                <w:i/>
                <w:iCs/>
                <w:sz w:val="20"/>
                <w:szCs w:val="20"/>
              </w:rPr>
              <w:t>(key skills):</w:t>
            </w:r>
          </w:p>
        </w:tc>
      </w:tr>
      <w:tr>
        <w:trPr>
          <w:jc w:val="center"/>
        </w:trPr>
        <w:tc>
          <w:tcPr>
            <w:tcW w:w="3666" w:type="dxa"/>
            <w:gridSpan w:val="2"/>
          </w:tcPr>
          <w:p>
            <w:pPr>
              <w:pStyle w:val="paragraph"/>
              <w:numPr>
                <w:ilvl w:val="0"/>
                <w:numId w:val="19"/>
              </w:numPr>
              <w:spacing w:before="0" w:beforeAutospacing="0" w:after="0" w:afterAutospacing="0"/>
              <w:textAlignment w:val="baseline"/>
              <w:rPr>
                <w:rFonts w:ascii="Century Gothic" w:hAnsi="Century Gothic"/>
                <w:sz w:val="18"/>
                <w:szCs w:val="18"/>
              </w:rPr>
            </w:pPr>
            <w:r>
              <w:rPr>
                <w:rStyle w:val="normaltextrun"/>
                <w:rFonts w:ascii="Century Gothic" w:hAnsi="Century Gothic"/>
                <w:sz w:val="18"/>
                <w:szCs w:val="18"/>
              </w:rPr>
              <w:t>Extract data from a variety of sources</w:t>
            </w:r>
            <w:r>
              <w:rPr>
                <w:rStyle w:val="eop"/>
                <w:rFonts w:ascii="Century Gothic" w:hAnsi="Century Gothic"/>
                <w:sz w:val="18"/>
                <w:szCs w:val="18"/>
              </w:rPr>
              <w:t> </w:t>
            </w:r>
          </w:p>
          <w:p>
            <w:pPr>
              <w:pStyle w:val="paragraph"/>
              <w:numPr>
                <w:ilvl w:val="0"/>
                <w:numId w:val="19"/>
              </w:numPr>
              <w:spacing w:before="0" w:beforeAutospacing="0" w:after="0" w:afterAutospacing="0"/>
              <w:textAlignment w:val="baseline"/>
              <w:rPr>
                <w:rFonts w:ascii="Century Gothic" w:hAnsi="Century Gothic"/>
                <w:sz w:val="18"/>
                <w:szCs w:val="18"/>
              </w:rPr>
            </w:pPr>
            <w:r>
              <w:rPr>
                <w:rStyle w:val="normaltextrun"/>
                <w:rFonts w:ascii="Century Gothic" w:hAnsi="Century Gothic"/>
                <w:sz w:val="18"/>
                <w:szCs w:val="18"/>
              </w:rPr>
              <w:t>Interpret maps, photographs and infographics</w:t>
            </w:r>
            <w:r>
              <w:rPr>
                <w:rStyle w:val="eop"/>
                <w:rFonts w:ascii="Century Gothic" w:hAnsi="Century Gothic"/>
                <w:sz w:val="18"/>
                <w:szCs w:val="18"/>
              </w:rPr>
              <w:t> </w:t>
            </w:r>
          </w:p>
          <w:p>
            <w:pPr>
              <w:pStyle w:val="paragraph"/>
              <w:numPr>
                <w:ilvl w:val="0"/>
                <w:numId w:val="19"/>
              </w:numPr>
              <w:spacing w:before="0" w:beforeAutospacing="0" w:after="0" w:afterAutospacing="0"/>
              <w:textAlignment w:val="baseline"/>
              <w:rPr>
                <w:rFonts w:ascii="Century Gothic" w:hAnsi="Century Gothic"/>
                <w:sz w:val="18"/>
                <w:szCs w:val="18"/>
              </w:rPr>
            </w:pPr>
            <w:r>
              <w:rPr>
                <w:rStyle w:val="normaltextrun"/>
                <w:rFonts w:ascii="Century Gothic" w:hAnsi="Century Gothic"/>
                <w:sz w:val="18"/>
                <w:szCs w:val="18"/>
              </w:rPr>
              <w:t>Evaluate responses to  challenges of economic change</w:t>
            </w:r>
            <w:r>
              <w:rPr>
                <w:rStyle w:val="eop"/>
                <w:rFonts w:ascii="Century Gothic" w:hAnsi="Century Gothic"/>
                <w:sz w:val="18"/>
                <w:szCs w:val="18"/>
              </w:rPr>
              <w:t> </w:t>
            </w:r>
          </w:p>
          <w:p>
            <w:pPr>
              <w:spacing w:line="259" w:lineRule="auto"/>
              <w:rPr>
                <w:rFonts w:ascii="Century Gothic" w:hAnsi="Century Gothic" w:cs="Arial"/>
                <w:sz w:val="18"/>
                <w:szCs w:val="18"/>
              </w:rPr>
            </w:pPr>
          </w:p>
        </w:tc>
        <w:tc>
          <w:tcPr>
            <w:tcW w:w="3326" w:type="dxa"/>
            <w:gridSpan w:val="2"/>
          </w:tcPr>
          <w:p>
            <w:pPr>
              <w:pStyle w:val="paragraph"/>
              <w:numPr>
                <w:ilvl w:val="0"/>
                <w:numId w:val="19"/>
              </w:numPr>
              <w:spacing w:before="0" w:beforeAutospacing="0" w:after="0" w:afterAutospacing="0"/>
              <w:textAlignment w:val="baseline"/>
              <w:rPr>
                <w:rFonts w:ascii="Century Gothic" w:hAnsi="Century Gothic"/>
                <w:sz w:val="18"/>
                <w:szCs w:val="18"/>
              </w:rPr>
            </w:pPr>
            <w:r>
              <w:rPr>
                <w:rStyle w:val="normaltextrun"/>
                <w:rFonts w:ascii="Century Gothic" w:hAnsi="Century Gothic"/>
                <w:sz w:val="18"/>
                <w:szCs w:val="18"/>
              </w:rPr>
              <w:t>Extract data from a variety of sources</w:t>
            </w:r>
            <w:r>
              <w:rPr>
                <w:rStyle w:val="eop"/>
                <w:rFonts w:ascii="Century Gothic" w:hAnsi="Century Gothic"/>
                <w:sz w:val="18"/>
                <w:szCs w:val="18"/>
              </w:rPr>
              <w:t> </w:t>
            </w:r>
          </w:p>
          <w:p>
            <w:pPr>
              <w:pStyle w:val="paragraph"/>
              <w:numPr>
                <w:ilvl w:val="0"/>
                <w:numId w:val="19"/>
              </w:numPr>
              <w:spacing w:before="0" w:beforeAutospacing="0" w:after="0" w:afterAutospacing="0"/>
              <w:textAlignment w:val="baseline"/>
              <w:rPr>
                <w:rFonts w:ascii="Century Gothic" w:hAnsi="Century Gothic"/>
                <w:sz w:val="18"/>
                <w:szCs w:val="18"/>
              </w:rPr>
            </w:pPr>
            <w:r>
              <w:rPr>
                <w:rStyle w:val="normaltextrun"/>
                <w:rFonts w:ascii="Century Gothic" w:hAnsi="Century Gothic"/>
                <w:sz w:val="18"/>
                <w:szCs w:val="18"/>
              </w:rPr>
              <w:t>Interpret maps, photographs and infographics</w:t>
            </w:r>
            <w:r>
              <w:rPr>
                <w:rStyle w:val="eop"/>
                <w:rFonts w:ascii="Century Gothic" w:hAnsi="Century Gothic"/>
                <w:sz w:val="18"/>
                <w:szCs w:val="18"/>
              </w:rPr>
              <w:t> </w:t>
            </w:r>
          </w:p>
          <w:p>
            <w:pPr>
              <w:pStyle w:val="paragraph"/>
              <w:numPr>
                <w:ilvl w:val="0"/>
                <w:numId w:val="19"/>
              </w:numPr>
              <w:spacing w:before="0" w:beforeAutospacing="0" w:after="0" w:afterAutospacing="0"/>
              <w:textAlignment w:val="baseline"/>
              <w:rPr>
                <w:rFonts w:ascii="Century Gothic" w:hAnsi="Century Gothic"/>
                <w:sz w:val="18"/>
                <w:szCs w:val="18"/>
              </w:rPr>
            </w:pPr>
            <w:r>
              <w:rPr>
                <w:rStyle w:val="normaltextrun"/>
                <w:rFonts w:ascii="Century Gothic" w:hAnsi="Century Gothic"/>
                <w:sz w:val="18"/>
                <w:szCs w:val="18"/>
              </w:rPr>
              <w:t>Evaluate responses to  challenges in tropical rainforests and cold environments</w:t>
            </w:r>
            <w:r>
              <w:rPr>
                <w:rStyle w:val="eop"/>
                <w:rFonts w:ascii="Century Gothic" w:hAnsi="Century Gothic"/>
                <w:sz w:val="18"/>
                <w:szCs w:val="18"/>
              </w:rPr>
              <w:t> </w:t>
            </w:r>
          </w:p>
          <w:p>
            <w:pPr>
              <w:pStyle w:val="ListParagraph"/>
              <w:rPr>
                <w:rFonts w:ascii="Century Gothic" w:hAnsi="Century Gothic" w:cs="Arial"/>
                <w:sz w:val="18"/>
                <w:szCs w:val="18"/>
              </w:rPr>
            </w:pPr>
          </w:p>
        </w:tc>
        <w:tc>
          <w:tcPr>
            <w:tcW w:w="2826" w:type="dxa"/>
            <w:gridSpan w:val="2"/>
          </w:tcPr>
          <w:p>
            <w:pPr>
              <w:pStyle w:val="paragraph"/>
              <w:numPr>
                <w:ilvl w:val="0"/>
                <w:numId w:val="19"/>
              </w:numPr>
              <w:spacing w:before="0" w:beforeAutospacing="0" w:after="0" w:afterAutospacing="0"/>
              <w:textAlignment w:val="baseline"/>
              <w:rPr>
                <w:rFonts w:ascii="Century Gothic" w:hAnsi="Century Gothic"/>
                <w:sz w:val="18"/>
                <w:szCs w:val="18"/>
              </w:rPr>
            </w:pPr>
            <w:r>
              <w:rPr>
                <w:rStyle w:val="normaltextrun"/>
                <w:rFonts w:ascii="Century Gothic" w:hAnsi="Century Gothic"/>
                <w:sz w:val="18"/>
                <w:szCs w:val="18"/>
              </w:rPr>
              <w:t>Extract data from a variety of sources</w:t>
            </w:r>
            <w:r>
              <w:rPr>
                <w:rStyle w:val="eop"/>
                <w:rFonts w:ascii="Century Gothic" w:hAnsi="Century Gothic"/>
                <w:sz w:val="18"/>
                <w:szCs w:val="18"/>
              </w:rPr>
              <w:t> </w:t>
            </w:r>
          </w:p>
          <w:p>
            <w:pPr>
              <w:pStyle w:val="paragraph"/>
              <w:numPr>
                <w:ilvl w:val="0"/>
                <w:numId w:val="19"/>
              </w:numPr>
              <w:spacing w:before="0" w:beforeAutospacing="0" w:after="0" w:afterAutospacing="0"/>
              <w:textAlignment w:val="baseline"/>
              <w:rPr>
                <w:rFonts w:ascii="Century Gothic" w:hAnsi="Century Gothic"/>
                <w:sz w:val="18"/>
                <w:szCs w:val="18"/>
              </w:rPr>
            </w:pPr>
            <w:r>
              <w:rPr>
                <w:rStyle w:val="normaltextrun"/>
                <w:rFonts w:ascii="Century Gothic" w:hAnsi="Century Gothic"/>
                <w:sz w:val="18"/>
                <w:szCs w:val="18"/>
              </w:rPr>
              <w:t>Interpret maps, photographs and infographics</w:t>
            </w:r>
            <w:r>
              <w:rPr>
                <w:rStyle w:val="eop"/>
                <w:rFonts w:ascii="Century Gothic" w:hAnsi="Century Gothic"/>
                <w:sz w:val="18"/>
                <w:szCs w:val="18"/>
              </w:rPr>
              <w:t> </w:t>
            </w:r>
          </w:p>
          <w:p>
            <w:pPr>
              <w:pStyle w:val="paragraph"/>
              <w:numPr>
                <w:ilvl w:val="0"/>
                <w:numId w:val="19"/>
              </w:numPr>
              <w:spacing w:before="0" w:beforeAutospacing="0" w:after="0" w:afterAutospacing="0"/>
              <w:textAlignment w:val="baseline"/>
              <w:rPr>
                <w:rFonts w:ascii="Century Gothic" w:hAnsi="Century Gothic"/>
                <w:sz w:val="18"/>
                <w:szCs w:val="18"/>
              </w:rPr>
            </w:pPr>
            <w:r>
              <w:rPr>
                <w:rStyle w:val="normaltextrun"/>
                <w:rFonts w:ascii="Century Gothic" w:hAnsi="Century Gothic"/>
                <w:sz w:val="18"/>
                <w:szCs w:val="18"/>
              </w:rPr>
              <w:t xml:space="preserve">Evaluate responses </w:t>
            </w:r>
            <w:r>
              <w:rPr>
                <w:rStyle w:val="eop"/>
                <w:rFonts w:ascii="Century Gothic" w:hAnsi="Century Gothic"/>
                <w:sz w:val="18"/>
                <w:szCs w:val="18"/>
              </w:rPr>
              <w:t> </w:t>
            </w:r>
          </w:p>
          <w:p>
            <w:pPr>
              <w:pStyle w:val="ListParagraph"/>
              <w:spacing w:line="259" w:lineRule="auto"/>
              <w:rPr>
                <w:rFonts w:ascii="Century Gothic" w:hAnsi="Century Gothic" w:cs="Arial"/>
                <w:sz w:val="20"/>
                <w:szCs w:val="20"/>
              </w:rPr>
            </w:pPr>
          </w:p>
        </w:tc>
        <w:tc>
          <w:tcPr>
            <w:tcW w:w="2776" w:type="dxa"/>
          </w:tcPr>
          <w:p>
            <w:pPr>
              <w:pStyle w:val="ListParagraph"/>
              <w:numPr>
                <w:ilvl w:val="0"/>
                <w:numId w:val="19"/>
              </w:numPr>
              <w:spacing w:line="259" w:lineRule="auto"/>
              <w:rPr>
                <w:rFonts w:eastAsiaTheme="minorEastAsia"/>
                <w:sz w:val="18"/>
                <w:szCs w:val="18"/>
              </w:rPr>
            </w:pPr>
            <w:r>
              <w:rPr>
                <w:rFonts w:ascii="Century Gothic" w:hAnsi="Century Gothic" w:cs="Arial"/>
                <w:sz w:val="18"/>
                <w:szCs w:val="18"/>
              </w:rPr>
              <w:t>Apply knowledge and understanding to different question types</w:t>
            </w:r>
          </w:p>
          <w:p>
            <w:pPr>
              <w:pStyle w:val="ListParagraph"/>
              <w:numPr>
                <w:ilvl w:val="0"/>
                <w:numId w:val="19"/>
              </w:numPr>
              <w:spacing w:line="259" w:lineRule="auto"/>
              <w:rPr>
                <w:sz w:val="18"/>
                <w:szCs w:val="18"/>
              </w:rPr>
            </w:pPr>
            <w:r>
              <w:rPr>
                <w:rFonts w:ascii="Century Gothic" w:hAnsi="Century Gothic" w:cs="Arial"/>
                <w:sz w:val="18"/>
                <w:szCs w:val="18"/>
              </w:rPr>
              <w:t>Use examples in a variety of different question types</w:t>
            </w:r>
          </w:p>
        </w:tc>
        <w:tc>
          <w:tcPr>
            <w:tcW w:w="3366" w:type="dxa"/>
            <w:shd w:val="clear" w:color="auto" w:fill="000000" w:themeFill="text1"/>
          </w:tcPr>
          <w:p>
            <w:pPr>
              <w:pStyle w:val="ListParagraph"/>
              <w:spacing w:line="259" w:lineRule="auto"/>
              <w:rPr>
                <w:rFonts w:ascii="Century Gothic" w:hAnsi="Century Gothic" w:cs="Arial"/>
                <w:sz w:val="20"/>
                <w:szCs w:val="20"/>
              </w:rPr>
            </w:pPr>
          </w:p>
        </w:tc>
      </w:tr>
    </w:tbl>
    <w:p>
      <w:pPr>
        <w:rPr>
          <w:rFonts w:ascii="Century Gothic" w:hAnsi="Century Gothic"/>
        </w:rPr>
      </w:pPr>
    </w:p>
    <w:p>
      <w:pPr>
        <w:rPr>
          <w:rFonts w:ascii="Century Gothic" w:hAnsi="Century Gothic"/>
        </w:rPr>
      </w:pPr>
    </w:p>
    <w:sectPr>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009B4"/>
    <w:multiLevelType w:val="hybridMultilevel"/>
    <w:tmpl w:val="014AAF3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BFC7118"/>
    <w:multiLevelType w:val="hybridMultilevel"/>
    <w:tmpl w:val="F872CCA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5EC352F"/>
    <w:multiLevelType w:val="multilevel"/>
    <w:tmpl w:val="234A12D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4A451D"/>
    <w:multiLevelType w:val="hybridMultilevel"/>
    <w:tmpl w:val="340043E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065547"/>
    <w:multiLevelType w:val="multilevel"/>
    <w:tmpl w:val="A044CCB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 w15:restartNumberingAfterBreak="0">
    <w:nsid w:val="2AB358EB"/>
    <w:multiLevelType w:val="hybridMultilevel"/>
    <w:tmpl w:val="A05EC88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D473371"/>
    <w:multiLevelType w:val="hybridMultilevel"/>
    <w:tmpl w:val="DB70143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0BAD366"/>
    <w:multiLevelType w:val="hybridMultilevel"/>
    <w:tmpl w:val="BCB875EA"/>
    <w:lvl w:ilvl="0" w:tplc="049C238E">
      <w:start w:val="1"/>
      <w:numFmt w:val="bullet"/>
      <w:lvlText w:val=""/>
      <w:lvlJc w:val="left"/>
      <w:pPr>
        <w:ind w:left="360" w:hanging="360"/>
      </w:pPr>
      <w:rPr>
        <w:rFonts w:ascii="Wingdings" w:hAnsi="Wingdings" w:hint="default"/>
      </w:rPr>
    </w:lvl>
    <w:lvl w:ilvl="1" w:tplc="43DA4E82">
      <w:start w:val="1"/>
      <w:numFmt w:val="bullet"/>
      <w:lvlText w:val="o"/>
      <w:lvlJc w:val="left"/>
      <w:pPr>
        <w:ind w:left="1080" w:hanging="360"/>
      </w:pPr>
      <w:rPr>
        <w:rFonts w:ascii="Courier New" w:hAnsi="Courier New" w:hint="default"/>
      </w:rPr>
    </w:lvl>
    <w:lvl w:ilvl="2" w:tplc="57944FA2">
      <w:start w:val="1"/>
      <w:numFmt w:val="bullet"/>
      <w:lvlText w:val=""/>
      <w:lvlJc w:val="left"/>
      <w:pPr>
        <w:ind w:left="1800" w:hanging="360"/>
      </w:pPr>
      <w:rPr>
        <w:rFonts w:ascii="Wingdings" w:hAnsi="Wingdings" w:hint="default"/>
      </w:rPr>
    </w:lvl>
    <w:lvl w:ilvl="3" w:tplc="8F9E2C84">
      <w:start w:val="1"/>
      <w:numFmt w:val="bullet"/>
      <w:lvlText w:val=""/>
      <w:lvlJc w:val="left"/>
      <w:pPr>
        <w:ind w:left="2520" w:hanging="360"/>
      </w:pPr>
      <w:rPr>
        <w:rFonts w:ascii="Symbol" w:hAnsi="Symbol" w:hint="default"/>
      </w:rPr>
    </w:lvl>
    <w:lvl w:ilvl="4" w:tplc="1FAA0A84">
      <w:start w:val="1"/>
      <w:numFmt w:val="bullet"/>
      <w:lvlText w:val="o"/>
      <w:lvlJc w:val="left"/>
      <w:pPr>
        <w:ind w:left="3240" w:hanging="360"/>
      </w:pPr>
      <w:rPr>
        <w:rFonts w:ascii="Courier New" w:hAnsi="Courier New" w:hint="default"/>
      </w:rPr>
    </w:lvl>
    <w:lvl w:ilvl="5" w:tplc="C780F588">
      <w:start w:val="1"/>
      <w:numFmt w:val="bullet"/>
      <w:lvlText w:val=""/>
      <w:lvlJc w:val="left"/>
      <w:pPr>
        <w:ind w:left="3960" w:hanging="360"/>
      </w:pPr>
      <w:rPr>
        <w:rFonts w:ascii="Wingdings" w:hAnsi="Wingdings" w:hint="default"/>
      </w:rPr>
    </w:lvl>
    <w:lvl w:ilvl="6" w:tplc="145A2BF2">
      <w:start w:val="1"/>
      <w:numFmt w:val="bullet"/>
      <w:lvlText w:val=""/>
      <w:lvlJc w:val="left"/>
      <w:pPr>
        <w:ind w:left="4680" w:hanging="360"/>
      </w:pPr>
      <w:rPr>
        <w:rFonts w:ascii="Symbol" w:hAnsi="Symbol" w:hint="default"/>
      </w:rPr>
    </w:lvl>
    <w:lvl w:ilvl="7" w:tplc="577E13A2">
      <w:start w:val="1"/>
      <w:numFmt w:val="bullet"/>
      <w:lvlText w:val="o"/>
      <w:lvlJc w:val="left"/>
      <w:pPr>
        <w:ind w:left="5400" w:hanging="360"/>
      </w:pPr>
      <w:rPr>
        <w:rFonts w:ascii="Courier New" w:hAnsi="Courier New" w:hint="default"/>
      </w:rPr>
    </w:lvl>
    <w:lvl w:ilvl="8" w:tplc="792C310E">
      <w:start w:val="1"/>
      <w:numFmt w:val="bullet"/>
      <w:lvlText w:val=""/>
      <w:lvlJc w:val="left"/>
      <w:pPr>
        <w:ind w:left="6120" w:hanging="360"/>
      </w:pPr>
      <w:rPr>
        <w:rFonts w:ascii="Wingdings" w:hAnsi="Wingdings" w:hint="default"/>
      </w:rPr>
    </w:lvl>
  </w:abstractNum>
  <w:abstractNum w:abstractNumId="8" w15:restartNumberingAfterBreak="0">
    <w:nsid w:val="380C6EAF"/>
    <w:multiLevelType w:val="hybridMultilevel"/>
    <w:tmpl w:val="1C4E2BF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F5D180F"/>
    <w:multiLevelType w:val="hybridMultilevel"/>
    <w:tmpl w:val="CBAE4FB6"/>
    <w:lvl w:ilvl="0" w:tplc="4C56045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4414AD"/>
    <w:multiLevelType w:val="hybridMultilevel"/>
    <w:tmpl w:val="0FD8277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92C6D8D"/>
    <w:multiLevelType w:val="hybridMultilevel"/>
    <w:tmpl w:val="195E7CC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0963636"/>
    <w:multiLevelType w:val="hybridMultilevel"/>
    <w:tmpl w:val="F168B5A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4F604C"/>
    <w:multiLevelType w:val="hybridMultilevel"/>
    <w:tmpl w:val="2AD4526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7D7C2F"/>
    <w:multiLevelType w:val="hybridMultilevel"/>
    <w:tmpl w:val="D04A563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CA4119D"/>
    <w:multiLevelType w:val="hybridMultilevel"/>
    <w:tmpl w:val="EA0C757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F501B4E"/>
    <w:multiLevelType w:val="hybridMultilevel"/>
    <w:tmpl w:val="EB244D3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0442700"/>
    <w:multiLevelType w:val="hybridMultilevel"/>
    <w:tmpl w:val="71CC3C4C"/>
    <w:lvl w:ilvl="0" w:tplc="92FA13DA">
      <w:start w:val="1"/>
      <w:numFmt w:val="bullet"/>
      <w:lvlText w:val=""/>
      <w:lvlJc w:val="left"/>
      <w:pPr>
        <w:ind w:left="360" w:hanging="360"/>
      </w:pPr>
      <w:rPr>
        <w:rFonts w:ascii="Wingdings" w:hAnsi="Wingdings" w:hint="default"/>
      </w:rPr>
    </w:lvl>
    <w:lvl w:ilvl="1" w:tplc="E3909A6A">
      <w:start w:val="1"/>
      <w:numFmt w:val="bullet"/>
      <w:lvlText w:val="o"/>
      <w:lvlJc w:val="left"/>
      <w:pPr>
        <w:ind w:left="1080" w:hanging="360"/>
      </w:pPr>
      <w:rPr>
        <w:rFonts w:ascii="Courier New" w:hAnsi="Courier New" w:hint="default"/>
      </w:rPr>
    </w:lvl>
    <w:lvl w:ilvl="2" w:tplc="4EA812D0">
      <w:start w:val="1"/>
      <w:numFmt w:val="bullet"/>
      <w:lvlText w:val=""/>
      <w:lvlJc w:val="left"/>
      <w:pPr>
        <w:ind w:left="1800" w:hanging="360"/>
      </w:pPr>
      <w:rPr>
        <w:rFonts w:ascii="Wingdings" w:hAnsi="Wingdings" w:hint="default"/>
      </w:rPr>
    </w:lvl>
    <w:lvl w:ilvl="3" w:tplc="1F8A6A06">
      <w:start w:val="1"/>
      <w:numFmt w:val="bullet"/>
      <w:lvlText w:val=""/>
      <w:lvlJc w:val="left"/>
      <w:pPr>
        <w:ind w:left="2520" w:hanging="360"/>
      </w:pPr>
      <w:rPr>
        <w:rFonts w:ascii="Symbol" w:hAnsi="Symbol" w:hint="default"/>
      </w:rPr>
    </w:lvl>
    <w:lvl w:ilvl="4" w:tplc="D7EC2DF8">
      <w:start w:val="1"/>
      <w:numFmt w:val="bullet"/>
      <w:lvlText w:val="o"/>
      <w:lvlJc w:val="left"/>
      <w:pPr>
        <w:ind w:left="3240" w:hanging="360"/>
      </w:pPr>
      <w:rPr>
        <w:rFonts w:ascii="Courier New" w:hAnsi="Courier New" w:hint="default"/>
      </w:rPr>
    </w:lvl>
    <w:lvl w:ilvl="5" w:tplc="D4C40C1A">
      <w:start w:val="1"/>
      <w:numFmt w:val="bullet"/>
      <w:lvlText w:val=""/>
      <w:lvlJc w:val="left"/>
      <w:pPr>
        <w:ind w:left="3960" w:hanging="360"/>
      </w:pPr>
      <w:rPr>
        <w:rFonts w:ascii="Wingdings" w:hAnsi="Wingdings" w:hint="default"/>
      </w:rPr>
    </w:lvl>
    <w:lvl w:ilvl="6" w:tplc="9D5C5DD4">
      <w:start w:val="1"/>
      <w:numFmt w:val="bullet"/>
      <w:lvlText w:val=""/>
      <w:lvlJc w:val="left"/>
      <w:pPr>
        <w:ind w:left="4680" w:hanging="360"/>
      </w:pPr>
      <w:rPr>
        <w:rFonts w:ascii="Symbol" w:hAnsi="Symbol" w:hint="default"/>
      </w:rPr>
    </w:lvl>
    <w:lvl w:ilvl="7" w:tplc="1A8A74FC">
      <w:start w:val="1"/>
      <w:numFmt w:val="bullet"/>
      <w:lvlText w:val="o"/>
      <w:lvlJc w:val="left"/>
      <w:pPr>
        <w:ind w:left="5400" w:hanging="360"/>
      </w:pPr>
      <w:rPr>
        <w:rFonts w:ascii="Courier New" w:hAnsi="Courier New" w:hint="default"/>
      </w:rPr>
    </w:lvl>
    <w:lvl w:ilvl="8" w:tplc="675CBC00">
      <w:start w:val="1"/>
      <w:numFmt w:val="bullet"/>
      <w:lvlText w:val=""/>
      <w:lvlJc w:val="left"/>
      <w:pPr>
        <w:ind w:left="6120" w:hanging="360"/>
      </w:pPr>
      <w:rPr>
        <w:rFonts w:ascii="Wingdings" w:hAnsi="Wingdings" w:hint="default"/>
      </w:rPr>
    </w:lvl>
  </w:abstractNum>
  <w:abstractNum w:abstractNumId="18" w15:restartNumberingAfterBreak="0">
    <w:nsid w:val="771419D5"/>
    <w:multiLevelType w:val="hybridMultilevel"/>
    <w:tmpl w:val="0EECDB50"/>
    <w:lvl w:ilvl="0" w:tplc="98F21432">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7"/>
  </w:num>
  <w:num w:numId="3">
    <w:abstractNumId w:val="9"/>
  </w:num>
  <w:num w:numId="4">
    <w:abstractNumId w:val="18"/>
  </w:num>
  <w:num w:numId="5">
    <w:abstractNumId w:val="12"/>
  </w:num>
  <w:num w:numId="6">
    <w:abstractNumId w:val="15"/>
  </w:num>
  <w:num w:numId="7">
    <w:abstractNumId w:val="6"/>
  </w:num>
  <w:num w:numId="8">
    <w:abstractNumId w:val="3"/>
  </w:num>
  <w:num w:numId="9">
    <w:abstractNumId w:val="1"/>
  </w:num>
  <w:num w:numId="10">
    <w:abstractNumId w:val="16"/>
  </w:num>
  <w:num w:numId="11">
    <w:abstractNumId w:val="5"/>
  </w:num>
  <w:num w:numId="12">
    <w:abstractNumId w:val="8"/>
  </w:num>
  <w:num w:numId="13">
    <w:abstractNumId w:val="0"/>
  </w:num>
  <w:num w:numId="14">
    <w:abstractNumId w:val="10"/>
  </w:num>
  <w:num w:numId="15">
    <w:abstractNumId w:val="14"/>
  </w:num>
  <w:num w:numId="16">
    <w:abstractNumId w:val="11"/>
  </w:num>
  <w:num w:numId="17">
    <w:abstractNumId w:val="4"/>
  </w:num>
  <w:num w:numId="18">
    <w:abstractNumId w:val="2"/>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96097C-A163-4F7D-A3D2-D465487B0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style>
  <w:style w:type="character" w:customStyle="1" w:styleId="eop">
    <w:name w:val="eop"/>
    <w:basedOn w:val="DefaultParagraphFont"/>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5439667">
      <w:bodyDiv w:val="1"/>
      <w:marLeft w:val="0"/>
      <w:marRight w:val="0"/>
      <w:marTop w:val="0"/>
      <w:marBottom w:val="0"/>
      <w:divBdr>
        <w:top w:val="none" w:sz="0" w:space="0" w:color="auto"/>
        <w:left w:val="none" w:sz="0" w:space="0" w:color="auto"/>
        <w:bottom w:val="none" w:sz="0" w:space="0" w:color="auto"/>
        <w:right w:val="none" w:sz="0" w:space="0" w:color="auto"/>
      </w:divBdr>
    </w:div>
    <w:div w:id="1356611763">
      <w:bodyDiv w:val="1"/>
      <w:marLeft w:val="0"/>
      <w:marRight w:val="0"/>
      <w:marTop w:val="0"/>
      <w:marBottom w:val="0"/>
      <w:divBdr>
        <w:top w:val="none" w:sz="0" w:space="0" w:color="auto"/>
        <w:left w:val="none" w:sz="0" w:space="0" w:color="auto"/>
        <w:bottom w:val="none" w:sz="0" w:space="0" w:color="auto"/>
        <w:right w:val="none" w:sz="0" w:space="0" w:color="auto"/>
      </w:divBdr>
      <w:divsChild>
        <w:div w:id="1400129793">
          <w:marLeft w:val="0"/>
          <w:marRight w:val="0"/>
          <w:marTop w:val="0"/>
          <w:marBottom w:val="0"/>
          <w:divBdr>
            <w:top w:val="none" w:sz="0" w:space="0" w:color="auto"/>
            <w:left w:val="none" w:sz="0" w:space="0" w:color="auto"/>
            <w:bottom w:val="none" w:sz="0" w:space="0" w:color="auto"/>
            <w:right w:val="none" w:sz="0" w:space="0" w:color="auto"/>
          </w:divBdr>
        </w:div>
        <w:div w:id="923415399">
          <w:marLeft w:val="0"/>
          <w:marRight w:val="0"/>
          <w:marTop w:val="0"/>
          <w:marBottom w:val="0"/>
          <w:divBdr>
            <w:top w:val="none" w:sz="0" w:space="0" w:color="auto"/>
            <w:left w:val="none" w:sz="0" w:space="0" w:color="auto"/>
            <w:bottom w:val="none" w:sz="0" w:space="0" w:color="auto"/>
            <w:right w:val="none" w:sz="0" w:space="0" w:color="auto"/>
          </w:divBdr>
        </w:div>
        <w:div w:id="79646110">
          <w:marLeft w:val="0"/>
          <w:marRight w:val="0"/>
          <w:marTop w:val="0"/>
          <w:marBottom w:val="0"/>
          <w:divBdr>
            <w:top w:val="none" w:sz="0" w:space="0" w:color="auto"/>
            <w:left w:val="none" w:sz="0" w:space="0" w:color="auto"/>
            <w:bottom w:val="none" w:sz="0" w:space="0" w:color="auto"/>
            <w:right w:val="none" w:sz="0" w:space="0" w:color="auto"/>
          </w:divBdr>
        </w:div>
      </w:divsChild>
    </w:div>
    <w:div w:id="2023361394">
      <w:bodyDiv w:val="1"/>
      <w:marLeft w:val="0"/>
      <w:marRight w:val="0"/>
      <w:marTop w:val="0"/>
      <w:marBottom w:val="0"/>
      <w:divBdr>
        <w:top w:val="none" w:sz="0" w:space="0" w:color="auto"/>
        <w:left w:val="none" w:sz="0" w:space="0" w:color="auto"/>
        <w:bottom w:val="none" w:sz="0" w:space="0" w:color="auto"/>
        <w:right w:val="none" w:sz="0" w:space="0" w:color="auto"/>
      </w:divBdr>
      <w:divsChild>
        <w:div w:id="39481060">
          <w:marLeft w:val="0"/>
          <w:marRight w:val="0"/>
          <w:marTop w:val="0"/>
          <w:marBottom w:val="0"/>
          <w:divBdr>
            <w:top w:val="none" w:sz="0" w:space="0" w:color="auto"/>
            <w:left w:val="none" w:sz="0" w:space="0" w:color="auto"/>
            <w:bottom w:val="none" w:sz="0" w:space="0" w:color="auto"/>
            <w:right w:val="none" w:sz="0" w:space="0" w:color="auto"/>
          </w:divBdr>
        </w:div>
        <w:div w:id="1147018498">
          <w:marLeft w:val="0"/>
          <w:marRight w:val="0"/>
          <w:marTop w:val="0"/>
          <w:marBottom w:val="0"/>
          <w:divBdr>
            <w:top w:val="none" w:sz="0" w:space="0" w:color="auto"/>
            <w:left w:val="none" w:sz="0" w:space="0" w:color="auto"/>
            <w:bottom w:val="none" w:sz="0" w:space="0" w:color="auto"/>
            <w:right w:val="none" w:sz="0" w:space="0" w:color="auto"/>
          </w:divBdr>
        </w:div>
        <w:div w:id="16372210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b8eadae-a162-4602-b969-630d89ef858e">
      <UserInfo>
        <DisplayName>R.Fitch</DisplayName>
        <AccountId>20</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A5EDED-CE31-4991-BF5E-C33BC86C6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EE51AF-AFDD-4CAB-B415-A4308D9CFF66}">
  <ds:schemaRefs>
    <ds:schemaRef ds:uri="http://schemas.microsoft.com/office/2006/metadata/properties"/>
    <ds:schemaRef ds:uri="http://schemas.microsoft.com/office/infopath/2007/PartnerControls"/>
    <ds:schemaRef ds:uri="ab8eadae-a162-4602-b969-630d89ef858e"/>
  </ds:schemaRefs>
</ds:datastoreItem>
</file>

<file path=customXml/itemProps3.xml><?xml version="1.0" encoding="utf-8"?>
<ds:datastoreItem xmlns:ds="http://schemas.openxmlformats.org/officeDocument/2006/customXml" ds:itemID="{9BF57DCD-8BA6-476C-B42C-8C69DA4C18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949</Words>
  <Characters>5413</Characters>
  <Application>Microsoft Office Word</Application>
  <DocSecurity>0</DocSecurity>
  <Lines>45</Lines>
  <Paragraphs>12</Paragraphs>
  <ScaleCrop>false</ScaleCrop>
  <Company>Dallam School</Company>
  <LinksUpToDate>false</LinksUpToDate>
  <CharactersWithSpaces>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R.Williams</dc:creator>
  <cp:keywords/>
  <dc:description/>
  <cp:lastModifiedBy>S.Henneberry</cp:lastModifiedBy>
  <cp:revision>6</cp:revision>
  <cp:lastPrinted>2022-05-18T07:39:00Z</cp:lastPrinted>
  <dcterms:created xsi:type="dcterms:W3CDTF">2022-06-20T07:45:00Z</dcterms:created>
  <dcterms:modified xsi:type="dcterms:W3CDTF">2022-07-07T13:51:00Z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